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lotextu"/>
        <w:rPr/>
      </w:pPr>
      <w:bookmarkStart w:id="0" w:name="_GoBack"/>
      <w:bookmarkEnd w:id="0"/>
      <w:r>
        <w:rPr>
          <w:rFonts w:cs="Arial"/>
        </w:rPr>
        <w:t>Jihočeský krajský svaz stolního tenisu</w:t>
        <w:br/>
        <w:t>v y p i s u j e</w:t>
        <w:br/>
        <w:t xml:space="preserve">přebor Jihočeského kraje ve stolním tenisu družstev dorostu </w:t>
      </w:r>
      <w:r>
        <w:rPr/>
        <w:t>(2002 a mladší)</w:t>
      </w:r>
      <w:r>
        <w:rPr>
          <w:rFonts w:cs="Arial"/>
        </w:rPr>
        <w:br/>
        <w:t xml:space="preserve">p r o   r o k   2 0 2 0 </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 xml:space="preserve">Pořadatel: </w:t>
      </w:r>
      <w:r>
        <w:rPr>
          <w:rFonts w:cs="Arial" w:ascii="Arial" w:hAnsi="Arial"/>
          <w:sz w:val="20"/>
          <w:u w:val="single"/>
        </w:rPr>
        <w:t>SK Pedagog České Budějovice</w:t>
      </w:r>
      <w:r>
        <w:rPr>
          <w:rFonts w:cs="Arial" w:ascii="Arial" w:hAnsi="Arial"/>
          <w:sz w:val="20"/>
        </w:rPr>
        <w:br/>
      </w:r>
    </w:p>
    <w:p>
      <w:pPr>
        <w:pStyle w:val="Normal"/>
        <w:numPr>
          <w:ilvl w:val="0"/>
          <w:numId w:val="1"/>
        </w:numPr>
        <w:rPr/>
      </w:pPr>
      <w:r>
        <w:rPr>
          <w:rFonts w:cs="Arial" w:ascii="Arial" w:hAnsi="Arial"/>
          <w:sz w:val="20"/>
        </w:rPr>
        <w:t xml:space="preserve">Datum uspořádání: </w:t>
      </w:r>
      <w:r>
        <w:rPr>
          <w:rFonts w:cs="Arial" w:ascii="Arial" w:hAnsi="Arial"/>
          <w:sz w:val="20"/>
          <w:u w:val="single"/>
        </w:rPr>
        <w:t>sobota 30. 5. 2020</w:t>
        <w:br/>
      </w:r>
    </w:p>
    <w:p>
      <w:pPr>
        <w:pStyle w:val="Normal"/>
        <w:numPr>
          <w:ilvl w:val="0"/>
          <w:numId w:val="1"/>
        </w:numPr>
        <w:rPr>
          <w:rFonts w:ascii="Arial" w:hAnsi="Arial" w:cs="Arial"/>
          <w:sz w:val="20"/>
        </w:rPr>
      </w:pPr>
      <w:r>
        <w:rPr>
          <w:rFonts w:cs="Arial" w:ascii="Arial" w:hAnsi="Arial"/>
          <w:sz w:val="20"/>
        </w:rPr>
        <w:t>Místo:</w:t>
      </w:r>
      <w:r>
        <w:rPr/>
        <w:t xml:space="preserve"> </w:t>
      </w:r>
      <w:r>
        <w:rPr>
          <w:rFonts w:cs="Arial" w:ascii="Arial" w:hAnsi="Arial"/>
          <w:sz w:val="20"/>
          <w:u w:val="single"/>
        </w:rPr>
        <w:t>Herna stolního tenisu SK Pedagog, Branišovská 36, Č. Budějovice</w:t>
      </w:r>
      <w:r>
        <w:rPr>
          <w:u w:val="single"/>
        </w:rPr>
        <w:br/>
      </w:r>
    </w:p>
    <w:p>
      <w:pPr>
        <w:pStyle w:val="Normal"/>
        <w:numPr>
          <w:ilvl w:val="0"/>
          <w:numId w:val="1"/>
        </w:numPr>
        <w:tabs>
          <w:tab w:val="clear" w:pos="708"/>
          <w:tab w:val="left" w:pos="709" w:leader="none"/>
          <w:tab w:val="left" w:pos="3969" w:leader="none"/>
        </w:tabs>
        <w:rPr>
          <w:rFonts w:ascii="Arial" w:hAnsi="Arial" w:cs="Arial"/>
          <w:sz w:val="20"/>
        </w:rPr>
      </w:pPr>
      <w:r>
        <w:rPr>
          <w:rFonts w:cs="Arial" w:ascii="Arial" w:hAnsi="Arial"/>
          <w:sz w:val="20"/>
        </w:rPr>
        <w:t>Ředitelství soutěže:</w:t>
        <w:br/>
        <w:t>ředitel:</w:t>
        <w:tab/>
        <w:t xml:space="preserve">Pavel Kortus </w:t>
        <w:br/>
        <w:t>vrchní rozhodčí:</w:t>
        <w:tab/>
        <w:t>Pavel Kortus ml.</w:t>
        <w:tab/>
      </w:r>
    </w:p>
    <w:p>
      <w:pPr>
        <w:pStyle w:val="Normal"/>
        <w:numPr>
          <w:ilvl w:val="0"/>
          <w:numId w:val="1"/>
        </w:numPr>
        <w:tabs>
          <w:tab w:val="clear" w:pos="708"/>
          <w:tab w:val="left" w:pos="709" w:leader="none"/>
          <w:tab w:val="left" w:pos="3969" w:leader="none"/>
        </w:tabs>
        <w:rPr/>
      </w:pPr>
      <w:r>
        <w:rPr>
          <w:rFonts w:cs="Arial" w:ascii="Arial" w:hAnsi="Arial"/>
          <w:sz w:val="20"/>
        </w:rPr>
        <w:t xml:space="preserve">Přihlášky: Zašlou reg. svazy stolního tenisu včetně náhradníků do 28. 5. 2020 na adresu: </w:t>
      </w:r>
      <w:r>
        <w:rPr>
          <w:rFonts w:cs="Arial" w:ascii="Arial" w:hAnsi="Arial"/>
          <w:b/>
          <w:sz w:val="20"/>
        </w:rPr>
        <w:t xml:space="preserve">Pavel Kortus </w:t>
      </w:r>
      <w:r>
        <w:rPr>
          <w:rFonts w:cs="Arial" w:ascii="Arial" w:hAnsi="Arial"/>
          <w:sz w:val="20"/>
        </w:rPr>
        <w:t>(602649297),</w:t>
      </w:r>
      <w:r>
        <w:rPr>
          <w:rFonts w:cs="Arial" w:ascii="Arial" w:hAnsi="Arial"/>
          <w:b/>
          <w:sz w:val="20"/>
        </w:rPr>
        <w:t xml:space="preserve"> email: </w:t>
      </w:r>
      <w:r>
        <w:rPr>
          <w:rFonts w:cs="Arial" w:ascii="Arial" w:hAnsi="Arial"/>
          <w:i/>
          <w:sz w:val="20"/>
        </w:rPr>
        <w:t>pavelkortus@seznam.cz</w:t>
      </w:r>
      <w:r>
        <w:rPr>
          <w:rFonts w:cs="Arial" w:ascii="Arial" w:hAnsi="Arial"/>
          <w:b/>
          <w:sz w:val="20"/>
        </w:rPr>
        <w:t xml:space="preserve"> </w:t>
      </w:r>
    </w:p>
    <w:p>
      <w:pPr>
        <w:pStyle w:val="Normal"/>
        <w:tabs>
          <w:tab w:val="clear" w:pos="708"/>
          <w:tab w:val="left" w:pos="709" w:leader="none"/>
          <w:tab w:val="left" w:pos="3969" w:leader="none"/>
        </w:tabs>
        <w:ind w:left="360" w:hanging="0"/>
        <w:rPr>
          <w:rFonts w:ascii="Arial" w:hAnsi="Arial" w:cs="Arial"/>
          <w:sz w:val="20"/>
        </w:rPr>
      </w:pPr>
      <w:r>
        <w:rPr>
          <w:rFonts w:cs="Arial" w:ascii="Arial" w:hAnsi="Arial"/>
          <w:sz w:val="20"/>
        </w:rPr>
      </w:r>
    </w:p>
    <w:p>
      <w:pPr>
        <w:pStyle w:val="Normal"/>
        <w:numPr>
          <w:ilvl w:val="0"/>
          <w:numId w:val="1"/>
        </w:numPr>
        <w:tabs>
          <w:tab w:val="clear" w:pos="708"/>
          <w:tab w:val="left" w:pos="709" w:leader="none"/>
          <w:tab w:val="left" w:pos="3969" w:leader="none"/>
        </w:tabs>
        <w:rPr>
          <w:rFonts w:ascii="Arial" w:hAnsi="Arial" w:cs="Arial"/>
          <w:sz w:val="20"/>
        </w:rPr>
      </w:pPr>
      <w:r>
        <w:rPr>
          <w:rFonts w:cs="Arial" w:ascii="Arial" w:hAnsi="Arial"/>
          <w:sz w:val="20"/>
        </w:rPr>
        <w:t>Losování: V místě konání přeboru před zahájením soutěží.</w:t>
      </w:r>
    </w:p>
    <w:p>
      <w:pPr>
        <w:pStyle w:val="Normal"/>
        <w:tabs>
          <w:tab w:val="clear" w:pos="708"/>
          <w:tab w:val="left" w:pos="709" w:leader="none"/>
          <w:tab w:val="left" w:pos="3969" w:leader="none"/>
        </w:tabs>
        <w:ind w:left="360" w:hanging="0"/>
        <w:rPr>
          <w:rFonts w:ascii="Arial" w:hAnsi="Arial" w:cs="Arial"/>
          <w:sz w:val="20"/>
        </w:rPr>
      </w:pPr>
      <w:r>
        <w:rPr>
          <w:rFonts w:cs="Arial" w:ascii="Arial" w:hAnsi="Arial"/>
          <w:sz w:val="20"/>
        </w:rPr>
      </w:r>
    </w:p>
    <w:p>
      <w:pPr>
        <w:pStyle w:val="Normal"/>
        <w:numPr>
          <w:ilvl w:val="0"/>
          <w:numId w:val="1"/>
        </w:numPr>
        <w:tabs>
          <w:tab w:val="clear" w:pos="708"/>
          <w:tab w:val="left" w:pos="709" w:leader="none"/>
          <w:tab w:val="left" w:pos="3969" w:leader="none"/>
        </w:tabs>
        <w:rPr>
          <w:rFonts w:ascii="Arial" w:hAnsi="Arial" w:cs="Arial"/>
          <w:sz w:val="20"/>
        </w:rPr>
      </w:pPr>
      <w:r>
        <w:rPr>
          <w:rFonts w:cs="Arial" w:ascii="Arial" w:hAnsi="Arial"/>
          <w:sz w:val="20"/>
        </w:rPr>
        <w:t>Občerstvení: Formou bufetu v přízemí v klubovně SK Pedagog</w:t>
        <w:br/>
      </w:r>
    </w:p>
    <w:p>
      <w:pPr>
        <w:pStyle w:val="Normal"/>
        <w:numPr>
          <w:ilvl w:val="0"/>
          <w:numId w:val="1"/>
        </w:numPr>
        <w:tabs>
          <w:tab w:val="clear" w:pos="708"/>
          <w:tab w:val="left" w:pos="709" w:leader="none"/>
          <w:tab w:val="left" w:pos="3969" w:leader="none"/>
        </w:tabs>
        <w:jc w:val="both"/>
        <w:rPr>
          <w:rFonts w:ascii="Arial" w:hAnsi="Arial" w:cs="Arial"/>
          <w:sz w:val="20"/>
        </w:rPr>
      </w:pPr>
      <w:r>
        <w:rPr>
          <w:rFonts w:cs="Arial" w:ascii="Arial" w:hAnsi="Arial"/>
          <w:sz w:val="20"/>
        </w:rPr>
        <w:t>Úhrada nákladů: JčKSST hradí náklady na technicko-organizační uspořádání přeboru. Ostatní náklady hradí svým závodníkům vysílající oddíly (kluby) stolního tenisu.</w:t>
      </w:r>
    </w:p>
    <w:p>
      <w:pPr>
        <w:pStyle w:val="Normal"/>
        <w:tabs>
          <w:tab w:val="clear" w:pos="708"/>
          <w:tab w:val="left" w:pos="709" w:leader="none"/>
          <w:tab w:val="left" w:pos="3969" w:leader="none"/>
        </w:tabs>
        <w:ind w:left="491" w:hanging="0"/>
        <w:jc w:val="both"/>
        <w:rPr>
          <w:rFonts w:ascii="Arial" w:hAnsi="Arial" w:cs="Arial"/>
          <w:sz w:val="20"/>
        </w:rPr>
      </w:pPr>
      <w:r>
        <w:rPr>
          <w:rFonts w:cs="Arial" w:ascii="Arial" w:hAnsi="Arial"/>
          <w:sz w:val="20"/>
        </w:rPr>
      </w:r>
    </w:p>
    <w:p>
      <w:pPr>
        <w:pStyle w:val="Normal"/>
        <w:numPr>
          <w:ilvl w:val="0"/>
          <w:numId w:val="1"/>
        </w:numPr>
        <w:tabs>
          <w:tab w:val="clear" w:pos="708"/>
          <w:tab w:val="left" w:pos="709" w:leader="none"/>
          <w:tab w:val="left" w:pos="3969" w:leader="none"/>
        </w:tabs>
        <w:jc w:val="both"/>
        <w:rPr>
          <w:rFonts w:ascii="Arial" w:hAnsi="Arial" w:cs="Arial"/>
          <w:sz w:val="20"/>
        </w:rPr>
      </w:pPr>
      <w:r>
        <w:rPr>
          <w:rFonts w:cs="Arial" w:ascii="Arial" w:hAnsi="Arial"/>
          <w:sz w:val="20"/>
        </w:rPr>
        <w:t>Předpis: Hraje se podle Pravidel stolního tenisu, podle Soutěžního řádu stolního tenisu a podle ustanovení tohoto rozpisu.</w:t>
      </w:r>
    </w:p>
    <w:p>
      <w:pPr>
        <w:pStyle w:val="Normal"/>
        <w:tabs>
          <w:tab w:val="clear" w:pos="708"/>
          <w:tab w:val="left" w:pos="709" w:leader="none"/>
          <w:tab w:val="left" w:pos="3969" w:leader="none"/>
        </w:tabs>
        <w:ind w:left="491" w:hanging="0"/>
        <w:jc w:val="both"/>
        <w:rPr>
          <w:rFonts w:ascii="Arial" w:hAnsi="Arial" w:cs="Arial"/>
          <w:sz w:val="20"/>
        </w:rPr>
      </w:pPr>
      <w:r>
        <w:rPr>
          <w:rFonts w:cs="Arial" w:ascii="Arial" w:hAnsi="Arial"/>
          <w:sz w:val="20"/>
        </w:rPr>
      </w:r>
    </w:p>
    <w:p>
      <w:pPr>
        <w:pStyle w:val="Normal"/>
        <w:numPr>
          <w:ilvl w:val="0"/>
          <w:numId w:val="1"/>
        </w:numPr>
        <w:tabs>
          <w:tab w:val="clear" w:pos="708"/>
          <w:tab w:val="left" w:pos="709" w:leader="none"/>
          <w:tab w:val="left" w:pos="3969" w:leader="none"/>
        </w:tabs>
        <w:rPr>
          <w:rFonts w:ascii="Arial" w:hAnsi="Arial" w:cs="Arial"/>
          <w:sz w:val="20"/>
        </w:rPr>
      </w:pPr>
      <w:r>
        <w:rPr>
          <w:rFonts w:cs="Arial" w:ascii="Arial" w:hAnsi="Arial"/>
          <w:sz w:val="20"/>
        </w:rPr>
        <w:t>Míčky: *** Joola plastové</w:t>
        <w:br/>
      </w:r>
    </w:p>
    <w:p>
      <w:pPr>
        <w:pStyle w:val="Normal"/>
        <w:numPr>
          <w:ilvl w:val="0"/>
          <w:numId w:val="1"/>
        </w:numPr>
        <w:tabs>
          <w:tab w:val="clear" w:pos="708"/>
          <w:tab w:val="left" w:pos="709" w:leader="none"/>
          <w:tab w:val="left" w:pos="2835" w:leader="none"/>
        </w:tabs>
        <w:rPr>
          <w:rFonts w:ascii="Arial" w:hAnsi="Arial" w:cs="Arial"/>
          <w:sz w:val="20"/>
        </w:rPr>
      </w:pPr>
      <w:r>
        <w:rPr>
          <w:rFonts w:cs="Arial" w:ascii="Arial" w:hAnsi="Arial"/>
          <w:sz w:val="20"/>
        </w:rPr>
        <w:t>Soutěžní disciplíny:</w:t>
        <w:tab/>
        <w:t>tříčlenná družstva dorostenců</w:t>
        <w:br/>
        <w:t xml:space="preserve"> </w:t>
        <w:tab/>
        <w:t>dvoučlenná družstva dorostenek</w:t>
        <w:br/>
      </w:r>
    </w:p>
    <w:p>
      <w:pPr>
        <w:pStyle w:val="Normal"/>
        <w:numPr>
          <w:ilvl w:val="0"/>
          <w:numId w:val="1"/>
        </w:numPr>
        <w:tabs>
          <w:tab w:val="clear" w:pos="708"/>
          <w:tab w:val="left" w:pos="709" w:leader="none"/>
        </w:tabs>
        <w:jc w:val="both"/>
        <w:rPr>
          <w:rFonts w:ascii="Arial" w:hAnsi="Arial" w:cs="Arial"/>
          <w:sz w:val="20"/>
        </w:rPr>
      </w:pPr>
      <w:r>
        <w:rPr>
          <w:rFonts w:cs="Arial" w:ascii="Arial" w:hAnsi="Arial"/>
          <w:sz w:val="20"/>
        </w:rPr>
        <w:t>Systém soutěže: Utkání družstev dorostenců se hraje podle článku 318.02 Soutěžního řádu maximálně na 7 zápasů (končí při dosažení 4. vítězného zápasu jedním ze soupeřů) v tomto závazném pořadí:</w:t>
      </w:r>
    </w:p>
    <w:p>
      <w:pPr>
        <w:pStyle w:val="Normal"/>
        <w:tabs>
          <w:tab w:val="clear" w:pos="708"/>
          <w:tab w:val="left" w:pos="851" w:leader="none"/>
        </w:tabs>
        <w:ind w:left="350" w:hanging="0"/>
        <w:rPr>
          <w:rFonts w:ascii="Arial" w:hAnsi="Arial" w:cs="Arial"/>
          <w:sz w:val="20"/>
        </w:rPr>
      </w:pPr>
      <w:r>
        <w:rPr>
          <w:rFonts w:cs="Arial" w:ascii="Arial" w:hAnsi="Arial"/>
          <w:sz w:val="20"/>
        </w:rPr>
      </w:r>
    </w:p>
    <w:tbl>
      <w:tblPr>
        <w:tblW w:w="4820" w:type="dxa"/>
        <w:jc w:val="left"/>
        <w:tblInd w:w="1204" w:type="dxa"/>
        <w:tblCellMar>
          <w:top w:w="0" w:type="dxa"/>
          <w:left w:w="70" w:type="dxa"/>
          <w:bottom w:w="0" w:type="dxa"/>
          <w:right w:w="70" w:type="dxa"/>
        </w:tblCellMar>
        <w:tblLook w:firstRow="0" w:noVBand="0" w:lastRow="0" w:firstColumn="0" w:lastColumn="0" w:noHBand="0" w:val="0000"/>
      </w:tblPr>
      <w:tblGrid>
        <w:gridCol w:w="565"/>
        <w:gridCol w:w="409"/>
        <w:gridCol w:w="160"/>
        <w:gridCol w:w="850"/>
        <w:gridCol w:w="426"/>
        <w:gridCol w:w="1133"/>
        <w:gridCol w:w="425"/>
        <w:gridCol w:w="409"/>
        <w:gridCol w:w="160"/>
        <w:gridCol w:w="282"/>
      </w:tblGrid>
      <w:tr>
        <w:trPr/>
        <w:tc>
          <w:tcPr>
            <w:tcW w:w="565"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1.</w:t>
            </w:r>
          </w:p>
        </w:tc>
        <w:tc>
          <w:tcPr>
            <w:tcW w:w="409"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A</w:t>
            </w:r>
          </w:p>
        </w:tc>
        <w:tc>
          <w:tcPr>
            <w:tcW w:w="160" w:type="dxa"/>
            <w:tcBorders/>
            <w:shd w:fill="auto" w:val="clear"/>
          </w:tcPr>
          <w:p>
            <w:pPr>
              <w:pStyle w:val="Normal"/>
              <w:tabs>
                <w:tab w:val="clear" w:pos="708"/>
                <w:tab w:val="left" w:pos="851" w:leader="none"/>
              </w:tabs>
              <w:jc w:val="center"/>
              <w:rPr>
                <w:rFonts w:ascii="Arial" w:hAnsi="Arial" w:cs="Arial"/>
                <w:sz w:val="20"/>
              </w:rPr>
            </w:pPr>
            <w:r>
              <w:rPr>
                <w:rFonts w:cs="Arial" w:ascii="Arial" w:hAnsi="Arial"/>
                <w:sz w:val="20"/>
              </w:rPr>
              <w:t>-</w:t>
            </w:r>
          </w:p>
        </w:tc>
        <w:tc>
          <w:tcPr>
            <w:tcW w:w="850"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Y</w:t>
            </w:r>
          </w:p>
        </w:tc>
        <w:tc>
          <w:tcPr>
            <w:tcW w:w="426"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r>
          </w:p>
        </w:tc>
        <w:tc>
          <w:tcPr>
            <w:tcW w:w="1133"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r>
          </w:p>
        </w:tc>
        <w:tc>
          <w:tcPr>
            <w:tcW w:w="425"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5.</w:t>
            </w:r>
          </w:p>
        </w:tc>
        <w:tc>
          <w:tcPr>
            <w:tcW w:w="409"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A</w:t>
            </w:r>
          </w:p>
        </w:tc>
        <w:tc>
          <w:tcPr>
            <w:tcW w:w="160" w:type="dxa"/>
            <w:tcBorders/>
            <w:shd w:fill="auto" w:val="clear"/>
          </w:tcPr>
          <w:p>
            <w:pPr>
              <w:pStyle w:val="Normal"/>
              <w:tabs>
                <w:tab w:val="clear" w:pos="708"/>
                <w:tab w:val="left" w:pos="851" w:leader="none"/>
              </w:tabs>
              <w:jc w:val="center"/>
              <w:rPr>
                <w:rFonts w:ascii="Arial" w:hAnsi="Arial" w:cs="Arial"/>
                <w:sz w:val="20"/>
              </w:rPr>
            </w:pPr>
            <w:r>
              <w:rPr>
                <w:rFonts w:cs="Arial" w:ascii="Arial" w:hAnsi="Arial"/>
                <w:sz w:val="20"/>
              </w:rPr>
              <w:t>-</w:t>
            </w:r>
          </w:p>
        </w:tc>
        <w:tc>
          <w:tcPr>
            <w:tcW w:w="282"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X</w:t>
            </w:r>
          </w:p>
        </w:tc>
      </w:tr>
      <w:tr>
        <w:trPr/>
        <w:tc>
          <w:tcPr>
            <w:tcW w:w="565"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2.</w:t>
            </w:r>
          </w:p>
        </w:tc>
        <w:tc>
          <w:tcPr>
            <w:tcW w:w="409"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B</w:t>
            </w:r>
          </w:p>
        </w:tc>
        <w:tc>
          <w:tcPr>
            <w:tcW w:w="160" w:type="dxa"/>
            <w:tcBorders/>
            <w:shd w:fill="auto" w:val="clear"/>
          </w:tcPr>
          <w:p>
            <w:pPr>
              <w:pStyle w:val="Normal"/>
              <w:tabs>
                <w:tab w:val="clear" w:pos="708"/>
                <w:tab w:val="left" w:pos="851" w:leader="none"/>
              </w:tabs>
              <w:jc w:val="center"/>
              <w:rPr>
                <w:rFonts w:ascii="Arial" w:hAnsi="Arial" w:cs="Arial"/>
                <w:sz w:val="20"/>
              </w:rPr>
            </w:pPr>
            <w:r>
              <w:rPr>
                <w:rFonts w:cs="Arial" w:ascii="Arial" w:hAnsi="Arial"/>
                <w:sz w:val="20"/>
              </w:rPr>
              <w:t>-</w:t>
            </w:r>
          </w:p>
        </w:tc>
        <w:tc>
          <w:tcPr>
            <w:tcW w:w="850"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X</w:t>
            </w:r>
          </w:p>
        </w:tc>
        <w:tc>
          <w:tcPr>
            <w:tcW w:w="426"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4.</w:t>
            </w:r>
          </w:p>
        </w:tc>
        <w:tc>
          <w:tcPr>
            <w:tcW w:w="1133"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čtyřhra</w:t>
            </w:r>
          </w:p>
        </w:tc>
        <w:tc>
          <w:tcPr>
            <w:tcW w:w="425"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6.</w:t>
            </w:r>
          </w:p>
        </w:tc>
        <w:tc>
          <w:tcPr>
            <w:tcW w:w="409"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C</w:t>
            </w:r>
          </w:p>
        </w:tc>
        <w:tc>
          <w:tcPr>
            <w:tcW w:w="160" w:type="dxa"/>
            <w:tcBorders/>
            <w:shd w:fill="auto" w:val="clear"/>
          </w:tcPr>
          <w:p>
            <w:pPr>
              <w:pStyle w:val="Normal"/>
              <w:tabs>
                <w:tab w:val="clear" w:pos="708"/>
                <w:tab w:val="left" w:pos="851" w:leader="none"/>
              </w:tabs>
              <w:jc w:val="center"/>
              <w:rPr>
                <w:rFonts w:ascii="Arial" w:hAnsi="Arial" w:cs="Arial"/>
                <w:sz w:val="20"/>
              </w:rPr>
            </w:pPr>
            <w:r>
              <w:rPr>
                <w:rFonts w:cs="Arial" w:ascii="Arial" w:hAnsi="Arial"/>
                <w:sz w:val="20"/>
              </w:rPr>
              <w:t>-</w:t>
            </w:r>
          </w:p>
        </w:tc>
        <w:tc>
          <w:tcPr>
            <w:tcW w:w="282"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Y</w:t>
            </w:r>
          </w:p>
        </w:tc>
      </w:tr>
      <w:tr>
        <w:trPr/>
        <w:tc>
          <w:tcPr>
            <w:tcW w:w="565"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3.</w:t>
            </w:r>
          </w:p>
        </w:tc>
        <w:tc>
          <w:tcPr>
            <w:tcW w:w="409"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C</w:t>
            </w:r>
          </w:p>
        </w:tc>
        <w:tc>
          <w:tcPr>
            <w:tcW w:w="160" w:type="dxa"/>
            <w:tcBorders/>
            <w:shd w:fill="auto" w:val="clear"/>
          </w:tcPr>
          <w:p>
            <w:pPr>
              <w:pStyle w:val="Normal"/>
              <w:tabs>
                <w:tab w:val="clear" w:pos="708"/>
                <w:tab w:val="left" w:pos="851" w:leader="none"/>
              </w:tabs>
              <w:jc w:val="center"/>
              <w:rPr>
                <w:rFonts w:ascii="Arial" w:hAnsi="Arial" w:cs="Arial"/>
                <w:sz w:val="20"/>
              </w:rPr>
            </w:pPr>
            <w:r>
              <w:rPr>
                <w:rFonts w:cs="Arial" w:ascii="Arial" w:hAnsi="Arial"/>
                <w:sz w:val="20"/>
              </w:rPr>
              <w:t>-</w:t>
            </w:r>
          </w:p>
        </w:tc>
        <w:tc>
          <w:tcPr>
            <w:tcW w:w="850"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Z</w:t>
            </w:r>
          </w:p>
        </w:tc>
        <w:tc>
          <w:tcPr>
            <w:tcW w:w="426"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r>
          </w:p>
        </w:tc>
        <w:tc>
          <w:tcPr>
            <w:tcW w:w="1133"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r>
          </w:p>
        </w:tc>
        <w:tc>
          <w:tcPr>
            <w:tcW w:w="425"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7.</w:t>
            </w:r>
          </w:p>
        </w:tc>
        <w:tc>
          <w:tcPr>
            <w:tcW w:w="409"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B</w:t>
            </w:r>
          </w:p>
        </w:tc>
        <w:tc>
          <w:tcPr>
            <w:tcW w:w="160" w:type="dxa"/>
            <w:tcBorders/>
            <w:shd w:fill="auto" w:val="clear"/>
          </w:tcPr>
          <w:p>
            <w:pPr>
              <w:pStyle w:val="Normal"/>
              <w:tabs>
                <w:tab w:val="clear" w:pos="708"/>
                <w:tab w:val="left" w:pos="851" w:leader="none"/>
              </w:tabs>
              <w:jc w:val="center"/>
              <w:rPr>
                <w:rFonts w:ascii="Arial" w:hAnsi="Arial" w:cs="Arial"/>
                <w:sz w:val="20"/>
              </w:rPr>
            </w:pPr>
            <w:r>
              <w:rPr>
                <w:rFonts w:cs="Arial" w:ascii="Arial" w:hAnsi="Arial"/>
                <w:sz w:val="20"/>
              </w:rPr>
              <w:t>-</w:t>
            </w:r>
          </w:p>
        </w:tc>
        <w:tc>
          <w:tcPr>
            <w:tcW w:w="282"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Z</w:t>
            </w:r>
          </w:p>
        </w:tc>
      </w:tr>
    </w:tbl>
    <w:p>
      <w:pPr>
        <w:pStyle w:val="Normal"/>
        <w:tabs>
          <w:tab w:val="clear" w:pos="708"/>
          <w:tab w:val="left" w:pos="851" w:leader="none"/>
        </w:tabs>
        <w:rPr>
          <w:rFonts w:ascii="Arial" w:hAnsi="Arial" w:cs="Arial"/>
          <w:sz w:val="20"/>
        </w:rPr>
      </w:pPr>
      <w:r>
        <w:rPr>
          <w:rFonts w:cs="Arial" w:ascii="Arial" w:hAnsi="Arial"/>
          <w:sz w:val="20"/>
        </w:rPr>
      </w:r>
    </w:p>
    <w:p>
      <w:pPr>
        <w:pStyle w:val="BodyTextIndent2"/>
        <w:tabs>
          <w:tab w:val="clear" w:pos="851"/>
        </w:tabs>
        <w:ind w:left="426" w:hanging="0"/>
        <w:rPr>
          <w:rFonts w:cs="Arial"/>
        </w:rPr>
      </w:pPr>
      <w:r>
        <w:rPr/>
      </w:r>
    </w:p>
    <w:p>
      <w:pPr>
        <w:pStyle w:val="BodyTextIndent2"/>
        <w:tabs>
          <w:tab w:val="clear" w:pos="851"/>
        </w:tabs>
        <w:ind w:left="426" w:hanging="0"/>
        <w:rPr/>
      </w:pPr>
      <w:r>
        <w:rPr>
          <w:rFonts w:cs="Arial"/>
        </w:rPr>
        <w:t>Utkání družstev dorostenek se hraje podle článku 319 Soutěžního řádu maximálně na 5 zápasů (končí při dosažení 3. vítězného zápasu jedním ze soupeřů) v tomto závazném pořadí:</w:t>
      </w:r>
    </w:p>
    <w:p>
      <w:pPr>
        <w:pStyle w:val="Normal"/>
        <w:tabs>
          <w:tab w:val="clear" w:pos="708"/>
          <w:tab w:val="left" w:pos="851" w:leader="none"/>
        </w:tabs>
        <w:ind w:left="2127" w:hanging="0"/>
        <w:rPr>
          <w:rFonts w:ascii="Arial" w:hAnsi="Arial" w:cs="Arial"/>
          <w:sz w:val="20"/>
        </w:rPr>
      </w:pPr>
      <w:r>
        <w:rPr>
          <w:rFonts w:cs="Arial" w:ascii="Arial" w:hAnsi="Arial"/>
          <w:sz w:val="20"/>
        </w:rPr>
      </w:r>
    </w:p>
    <w:tbl>
      <w:tblPr>
        <w:tblW w:w="4820" w:type="dxa"/>
        <w:jc w:val="left"/>
        <w:tblInd w:w="1204" w:type="dxa"/>
        <w:tblCellMar>
          <w:top w:w="0" w:type="dxa"/>
          <w:left w:w="70" w:type="dxa"/>
          <w:bottom w:w="0" w:type="dxa"/>
          <w:right w:w="70" w:type="dxa"/>
        </w:tblCellMar>
        <w:tblLook w:firstRow="0" w:noVBand="0" w:lastRow="0" w:firstColumn="0" w:lastColumn="0" w:noHBand="0" w:val="0000"/>
      </w:tblPr>
      <w:tblGrid>
        <w:gridCol w:w="565"/>
        <w:gridCol w:w="409"/>
        <w:gridCol w:w="160"/>
        <w:gridCol w:w="850"/>
        <w:gridCol w:w="426"/>
        <w:gridCol w:w="1133"/>
        <w:gridCol w:w="425"/>
        <w:gridCol w:w="409"/>
        <w:gridCol w:w="160"/>
        <w:gridCol w:w="282"/>
      </w:tblGrid>
      <w:tr>
        <w:trPr/>
        <w:tc>
          <w:tcPr>
            <w:tcW w:w="565"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1.</w:t>
            </w:r>
          </w:p>
        </w:tc>
        <w:tc>
          <w:tcPr>
            <w:tcW w:w="409"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A</w:t>
            </w:r>
          </w:p>
        </w:tc>
        <w:tc>
          <w:tcPr>
            <w:tcW w:w="160" w:type="dxa"/>
            <w:tcBorders/>
            <w:shd w:fill="auto" w:val="clear"/>
          </w:tcPr>
          <w:p>
            <w:pPr>
              <w:pStyle w:val="Normal"/>
              <w:tabs>
                <w:tab w:val="clear" w:pos="708"/>
                <w:tab w:val="left" w:pos="851" w:leader="none"/>
              </w:tabs>
              <w:jc w:val="center"/>
              <w:rPr>
                <w:rFonts w:ascii="Arial" w:hAnsi="Arial" w:cs="Arial"/>
                <w:sz w:val="20"/>
              </w:rPr>
            </w:pPr>
            <w:r>
              <w:rPr>
                <w:rFonts w:cs="Arial" w:ascii="Arial" w:hAnsi="Arial"/>
                <w:sz w:val="20"/>
              </w:rPr>
              <w:t>-</w:t>
            </w:r>
          </w:p>
        </w:tc>
        <w:tc>
          <w:tcPr>
            <w:tcW w:w="850"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X</w:t>
            </w:r>
          </w:p>
        </w:tc>
        <w:tc>
          <w:tcPr>
            <w:tcW w:w="426"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3.</w:t>
            </w:r>
          </w:p>
        </w:tc>
        <w:tc>
          <w:tcPr>
            <w:tcW w:w="1133"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čtyřhra</w:t>
            </w:r>
          </w:p>
        </w:tc>
        <w:tc>
          <w:tcPr>
            <w:tcW w:w="425"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4.</w:t>
            </w:r>
          </w:p>
        </w:tc>
        <w:tc>
          <w:tcPr>
            <w:tcW w:w="409"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A</w:t>
            </w:r>
          </w:p>
        </w:tc>
        <w:tc>
          <w:tcPr>
            <w:tcW w:w="160" w:type="dxa"/>
            <w:tcBorders/>
            <w:shd w:fill="auto" w:val="clear"/>
          </w:tcPr>
          <w:p>
            <w:pPr>
              <w:pStyle w:val="Normal"/>
              <w:tabs>
                <w:tab w:val="clear" w:pos="708"/>
                <w:tab w:val="left" w:pos="851" w:leader="none"/>
              </w:tabs>
              <w:jc w:val="center"/>
              <w:rPr>
                <w:rFonts w:ascii="Arial" w:hAnsi="Arial" w:cs="Arial"/>
                <w:sz w:val="20"/>
              </w:rPr>
            </w:pPr>
            <w:r>
              <w:rPr>
                <w:rFonts w:cs="Arial" w:ascii="Arial" w:hAnsi="Arial"/>
                <w:sz w:val="20"/>
              </w:rPr>
              <w:t>-</w:t>
            </w:r>
          </w:p>
        </w:tc>
        <w:tc>
          <w:tcPr>
            <w:tcW w:w="282"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Y</w:t>
            </w:r>
          </w:p>
        </w:tc>
      </w:tr>
      <w:tr>
        <w:trPr/>
        <w:tc>
          <w:tcPr>
            <w:tcW w:w="565"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2.</w:t>
            </w:r>
          </w:p>
        </w:tc>
        <w:tc>
          <w:tcPr>
            <w:tcW w:w="409"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B</w:t>
            </w:r>
          </w:p>
        </w:tc>
        <w:tc>
          <w:tcPr>
            <w:tcW w:w="160" w:type="dxa"/>
            <w:tcBorders/>
            <w:shd w:fill="auto" w:val="clear"/>
          </w:tcPr>
          <w:p>
            <w:pPr>
              <w:pStyle w:val="Normal"/>
              <w:tabs>
                <w:tab w:val="clear" w:pos="708"/>
                <w:tab w:val="left" w:pos="851" w:leader="none"/>
              </w:tabs>
              <w:jc w:val="center"/>
              <w:rPr>
                <w:rFonts w:ascii="Arial" w:hAnsi="Arial" w:cs="Arial"/>
                <w:sz w:val="20"/>
              </w:rPr>
            </w:pPr>
            <w:r>
              <w:rPr>
                <w:rFonts w:cs="Arial" w:ascii="Arial" w:hAnsi="Arial"/>
                <w:sz w:val="20"/>
              </w:rPr>
              <w:t>-</w:t>
            </w:r>
          </w:p>
        </w:tc>
        <w:tc>
          <w:tcPr>
            <w:tcW w:w="850"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Y</w:t>
            </w:r>
          </w:p>
        </w:tc>
        <w:tc>
          <w:tcPr>
            <w:tcW w:w="426"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r>
          </w:p>
        </w:tc>
        <w:tc>
          <w:tcPr>
            <w:tcW w:w="1133"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r>
          </w:p>
        </w:tc>
        <w:tc>
          <w:tcPr>
            <w:tcW w:w="425"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5.</w:t>
            </w:r>
          </w:p>
        </w:tc>
        <w:tc>
          <w:tcPr>
            <w:tcW w:w="409" w:type="dxa"/>
            <w:tcBorders/>
            <w:shd w:fill="auto" w:val="clear"/>
          </w:tcPr>
          <w:p>
            <w:pPr>
              <w:pStyle w:val="Normal"/>
              <w:tabs>
                <w:tab w:val="clear" w:pos="708"/>
                <w:tab w:val="left" w:pos="851" w:leader="none"/>
              </w:tabs>
              <w:jc w:val="right"/>
              <w:rPr>
                <w:rFonts w:ascii="Arial" w:hAnsi="Arial" w:cs="Arial"/>
                <w:sz w:val="20"/>
              </w:rPr>
            </w:pPr>
            <w:r>
              <w:rPr>
                <w:rFonts w:cs="Arial" w:ascii="Arial" w:hAnsi="Arial"/>
                <w:sz w:val="20"/>
              </w:rPr>
              <w:t>B</w:t>
            </w:r>
          </w:p>
        </w:tc>
        <w:tc>
          <w:tcPr>
            <w:tcW w:w="160" w:type="dxa"/>
            <w:tcBorders/>
            <w:shd w:fill="auto" w:val="clear"/>
          </w:tcPr>
          <w:p>
            <w:pPr>
              <w:pStyle w:val="Normal"/>
              <w:tabs>
                <w:tab w:val="clear" w:pos="708"/>
                <w:tab w:val="left" w:pos="851" w:leader="none"/>
              </w:tabs>
              <w:jc w:val="center"/>
              <w:rPr>
                <w:rFonts w:ascii="Arial" w:hAnsi="Arial" w:cs="Arial"/>
                <w:sz w:val="20"/>
              </w:rPr>
            </w:pPr>
            <w:r>
              <w:rPr>
                <w:rFonts w:cs="Arial" w:ascii="Arial" w:hAnsi="Arial"/>
                <w:sz w:val="20"/>
              </w:rPr>
              <w:t>-</w:t>
            </w:r>
          </w:p>
        </w:tc>
        <w:tc>
          <w:tcPr>
            <w:tcW w:w="282" w:type="dxa"/>
            <w:tcBorders/>
            <w:shd w:fill="auto" w:val="clear"/>
          </w:tcPr>
          <w:p>
            <w:pPr>
              <w:pStyle w:val="Normal"/>
              <w:tabs>
                <w:tab w:val="clear" w:pos="708"/>
                <w:tab w:val="left" w:pos="851" w:leader="none"/>
              </w:tabs>
              <w:rPr>
                <w:rFonts w:ascii="Arial" w:hAnsi="Arial" w:cs="Arial"/>
                <w:sz w:val="20"/>
              </w:rPr>
            </w:pPr>
            <w:r>
              <w:rPr>
                <w:rFonts w:cs="Arial" w:ascii="Arial" w:hAnsi="Arial"/>
                <w:sz w:val="20"/>
              </w:rPr>
              <w:t>X</w:t>
            </w:r>
          </w:p>
        </w:tc>
      </w:tr>
    </w:tbl>
    <w:p>
      <w:pPr>
        <w:pStyle w:val="Normal"/>
        <w:tabs>
          <w:tab w:val="clear" w:pos="708"/>
          <w:tab w:val="left" w:pos="851" w:leader="none"/>
        </w:tabs>
        <w:rPr>
          <w:rFonts w:ascii="Arial" w:hAnsi="Arial" w:cs="Arial"/>
          <w:sz w:val="20"/>
        </w:rPr>
      </w:pPr>
      <w:r>
        <w:rPr>
          <w:rFonts w:cs="Arial" w:ascii="Arial" w:hAnsi="Arial"/>
          <w:sz w:val="20"/>
        </w:rPr>
      </w:r>
    </w:p>
    <w:p>
      <w:pPr>
        <w:pStyle w:val="Odsazentlatextu"/>
        <w:tabs>
          <w:tab w:val="clear" w:pos="851"/>
          <w:tab w:val="left" w:pos="426" w:leader="none"/>
        </w:tabs>
        <w:ind w:left="426" w:hanging="0"/>
        <w:jc w:val="both"/>
        <w:rPr/>
      </w:pPr>
      <w:r>
        <w:rPr>
          <w:rFonts w:cs="Arial"/>
        </w:rPr>
        <w:t xml:space="preserve">V případě účasti nejvýše pěti družstev budou hrát družstva v jedné skupině každý s každým o konečné pořadí. V případě účasti šesti až osmi družstev se bude hrát ve dvou skupinách každý s každým s tím, že vítězové skupin se utkají ve finále o první místo </w:t>
      </w:r>
      <w:bookmarkStart w:id="1" w:name="__DdeLink__553_275557826"/>
      <w:r>
        <w:rPr>
          <w:rFonts w:cs="Arial"/>
        </w:rPr>
        <w:t>a druhé týmy ve skupinách budou hrát utkání o 3. místo</w:t>
      </w:r>
      <w:bookmarkEnd w:id="1"/>
      <w:r>
        <w:rPr>
          <w:rFonts w:cs="Arial"/>
        </w:rPr>
        <w:t>.</w:t>
      </w:r>
    </w:p>
    <w:p>
      <w:pPr>
        <w:pStyle w:val="Odsazentlatextu"/>
        <w:tabs>
          <w:tab w:val="clear" w:pos="851"/>
          <w:tab w:val="left" w:pos="426" w:leader="none"/>
        </w:tabs>
        <w:ind w:left="426" w:hanging="0"/>
        <w:jc w:val="both"/>
        <w:rPr>
          <w:rFonts w:cs="Arial"/>
        </w:rPr>
      </w:pPr>
      <w:r>
        <w:rPr>
          <w:rFonts w:cs="Arial"/>
        </w:rPr>
      </w:r>
    </w:p>
    <w:p>
      <w:pPr>
        <w:pStyle w:val="Odsazentlatextu"/>
        <w:tabs>
          <w:tab w:val="clear" w:pos="851"/>
          <w:tab w:val="left" w:pos="426" w:leader="none"/>
        </w:tabs>
        <w:ind w:left="426" w:hanging="0"/>
        <w:jc w:val="both"/>
        <w:rPr>
          <w:rFonts w:cs="Arial"/>
        </w:rPr>
      </w:pPr>
      <w:r>
        <w:rPr>
          <w:rFonts w:cs="Arial"/>
        </w:rPr>
        <w:t>Nasazení hráčů na jednotlivá místa je volné. Do skupin budou nasazena družstva podle součtu umístění na aktuálním nasazovacím žebříčku prezentovaných závodníků. Do skupiny se nasazuje vždy jedno družstvo, ostatní družstva se do skupin dolosují.</w:t>
      </w:r>
    </w:p>
    <w:p>
      <w:pPr>
        <w:pStyle w:val="Odsazentlatextu"/>
        <w:tabs>
          <w:tab w:val="clear" w:pos="851"/>
          <w:tab w:val="left" w:pos="426" w:leader="none"/>
        </w:tabs>
        <w:ind w:left="426" w:hanging="0"/>
        <w:jc w:val="both"/>
        <w:rPr>
          <w:rFonts w:cs="Arial"/>
        </w:rPr>
      </w:pPr>
      <w:r>
        <w:rPr>
          <w:rFonts w:cs="Arial"/>
        </w:rPr>
      </w:r>
    </w:p>
    <w:p>
      <w:pPr>
        <w:pStyle w:val="Normal"/>
        <w:numPr>
          <w:ilvl w:val="0"/>
          <w:numId w:val="1"/>
        </w:numPr>
        <w:tabs>
          <w:tab w:val="clear" w:pos="708"/>
          <w:tab w:val="left" w:pos="851" w:leader="none"/>
        </w:tabs>
        <w:ind w:left="567" w:hanging="567"/>
        <w:jc w:val="both"/>
        <w:rPr>
          <w:rFonts w:ascii="Arial" w:hAnsi="Arial" w:cs="Arial"/>
          <w:sz w:val="20"/>
        </w:rPr>
      </w:pPr>
      <w:r>
        <w:rPr>
          <w:rFonts w:cs="Arial" w:ascii="Arial" w:hAnsi="Arial"/>
          <w:sz w:val="20"/>
        </w:rPr>
        <w:t>Kvóty a podmínky účasti:</w:t>
      </w:r>
    </w:p>
    <w:p>
      <w:pPr>
        <w:pStyle w:val="Normal"/>
        <w:tabs>
          <w:tab w:val="clear" w:pos="708"/>
          <w:tab w:val="left" w:pos="851" w:leader="none"/>
        </w:tabs>
        <w:ind w:left="491" w:hanging="0"/>
        <w:jc w:val="both"/>
        <w:rPr/>
      </w:pPr>
      <w:r>
        <w:rPr>
          <w:rFonts w:cs="Arial" w:ascii="Arial" w:hAnsi="Arial"/>
          <w:b/>
          <w:sz w:val="20"/>
        </w:rPr>
        <w:t>Dorostenci</w:t>
      </w:r>
      <w:r>
        <w:rPr>
          <w:rFonts w:cs="Arial" w:ascii="Arial" w:hAnsi="Arial"/>
          <w:sz w:val="20"/>
        </w:rPr>
        <w:t xml:space="preserve"> – všechny okresy 1 družstvo</w:t>
      </w:r>
    </w:p>
    <w:p>
      <w:pPr>
        <w:pStyle w:val="Normal"/>
        <w:tabs>
          <w:tab w:val="clear" w:pos="708"/>
          <w:tab w:val="left" w:pos="851" w:leader="none"/>
        </w:tabs>
        <w:ind w:left="491" w:hanging="0"/>
        <w:jc w:val="both"/>
        <w:rPr/>
      </w:pPr>
      <w:r>
        <w:rPr>
          <w:rFonts w:cs="Arial" w:ascii="Arial" w:hAnsi="Arial"/>
          <w:b/>
          <w:sz w:val="20"/>
        </w:rPr>
        <w:t>Dorostenky</w:t>
      </w:r>
      <w:r>
        <w:rPr>
          <w:rFonts w:cs="Arial" w:ascii="Arial" w:hAnsi="Arial"/>
          <w:sz w:val="20"/>
        </w:rPr>
        <w:t xml:space="preserve"> – všechny okresy 1 družstvo </w:t>
      </w:r>
    </w:p>
    <w:p>
      <w:pPr>
        <w:pStyle w:val="Normal"/>
        <w:tabs>
          <w:tab w:val="clear" w:pos="708"/>
          <w:tab w:val="left" w:pos="851" w:leader="none"/>
        </w:tabs>
        <w:ind w:left="491" w:hanging="0"/>
        <w:jc w:val="both"/>
        <w:rPr/>
      </w:pPr>
      <w:r>
        <w:rPr>
          <w:rFonts w:cs="Arial" w:ascii="Arial" w:hAnsi="Arial"/>
          <w:sz w:val="20"/>
        </w:rPr>
        <w:t>Družstva se musí přihlásit prostřednictvím svých regionálních svazů a prezentovat se v době stanovené tímto rozpisem, jinak nebudou zařazena do losování. V případě nenaplnění kvóty ji může doplnit pořádající oddíl.</w:t>
      </w:r>
    </w:p>
    <w:p>
      <w:pPr>
        <w:pStyle w:val="Normal"/>
        <w:tabs>
          <w:tab w:val="clear" w:pos="708"/>
          <w:tab w:val="left" w:pos="851" w:leader="none"/>
        </w:tabs>
        <w:ind w:left="491" w:hanging="0"/>
        <w:jc w:val="both"/>
        <w:rPr>
          <w:rFonts w:ascii="Arial" w:hAnsi="Arial" w:cs="Arial"/>
          <w:sz w:val="20"/>
        </w:rPr>
      </w:pPr>
      <w:r>
        <w:rPr>
          <w:rFonts w:cs="Arial" w:ascii="Arial" w:hAnsi="Arial"/>
          <w:sz w:val="20"/>
        </w:rPr>
      </w:r>
    </w:p>
    <w:p>
      <w:pPr>
        <w:pStyle w:val="Normal"/>
        <w:numPr>
          <w:ilvl w:val="0"/>
          <w:numId w:val="1"/>
        </w:numPr>
        <w:tabs>
          <w:tab w:val="clear" w:pos="708"/>
          <w:tab w:val="left" w:pos="851" w:leader="none"/>
        </w:tabs>
        <w:ind w:left="426" w:hanging="426"/>
        <w:rPr>
          <w:rFonts w:ascii="Arial" w:hAnsi="Arial" w:cs="Arial"/>
          <w:sz w:val="20"/>
        </w:rPr>
      </w:pPr>
      <w:r>
        <w:rPr>
          <w:rFonts w:cs="Arial" w:ascii="Arial" w:hAnsi="Arial"/>
          <w:sz w:val="20"/>
        </w:rPr>
        <w:t>Časový pořad:</w:t>
      </w:r>
    </w:p>
    <w:p>
      <w:pPr>
        <w:pStyle w:val="Normal"/>
        <w:tabs>
          <w:tab w:val="clear" w:pos="708"/>
          <w:tab w:val="left" w:pos="709" w:leader="none"/>
          <w:tab w:val="right" w:pos="2835" w:leader="none"/>
          <w:tab w:val="left" w:pos="3119" w:leader="none"/>
        </w:tabs>
        <w:rPr>
          <w:rFonts w:ascii="Arial" w:hAnsi="Arial" w:cs="Arial"/>
          <w:sz w:val="20"/>
        </w:rPr>
      </w:pPr>
      <w:r>
        <w:rPr>
          <w:rFonts w:cs="Arial" w:ascii="Arial" w:hAnsi="Arial"/>
          <w:sz w:val="20"/>
        </w:rPr>
        <w:tab/>
        <w:tab/>
        <w:t>8.00 – 8.30 hod.:</w:t>
        <w:tab/>
        <w:t>prezentace a kontrola dokladů</w:t>
        <w:br/>
        <w:t xml:space="preserve"> </w:t>
        <w:tab/>
        <w:tab/>
        <w:t>8.30 – 8.40 hod.:</w:t>
        <w:tab/>
        <w:t>losování</w:t>
        <w:br/>
        <w:t xml:space="preserve"> </w:t>
        <w:tab/>
        <w:tab/>
        <w:t>8.45 hod.:</w:t>
        <w:tab/>
        <w:t>nástup družstev, zahájení přeboru</w:t>
        <w:br/>
        <w:t xml:space="preserve"> </w:t>
      </w:r>
    </w:p>
    <w:p>
      <w:pPr>
        <w:pStyle w:val="Normal"/>
        <w:numPr>
          <w:ilvl w:val="0"/>
          <w:numId w:val="1"/>
        </w:numPr>
        <w:tabs>
          <w:tab w:val="clear" w:pos="708"/>
          <w:tab w:val="left" w:pos="426" w:leader="none"/>
          <w:tab w:val="left" w:pos="851" w:leader="none"/>
        </w:tabs>
        <w:ind w:left="720" w:hanging="720"/>
        <w:jc w:val="both"/>
        <w:rPr/>
      </w:pPr>
      <w:r>
        <w:rPr>
          <w:rFonts w:cs="Arial" w:ascii="Arial" w:hAnsi="Arial"/>
          <w:sz w:val="20"/>
        </w:rPr>
        <w:t>Titul a ceny: Vítězná družstva získají titul „Přeborník Jihočeského kraje pro rok 2020“ a obdrží medaile, stejně jako družstva na 2. a 3. místě.</w:t>
      </w:r>
    </w:p>
    <w:p>
      <w:pPr>
        <w:pStyle w:val="Normal"/>
        <w:numPr>
          <w:ilvl w:val="0"/>
          <w:numId w:val="0"/>
        </w:numPr>
        <w:tabs>
          <w:tab w:val="clear" w:pos="708"/>
          <w:tab w:val="left" w:pos="426" w:leader="none"/>
          <w:tab w:val="left" w:pos="851" w:leader="none"/>
        </w:tabs>
        <w:ind w:left="720" w:hanging="0"/>
        <w:jc w:val="both"/>
        <w:rPr>
          <w:rFonts w:ascii="Arial" w:hAnsi="Arial" w:cs="Arial"/>
          <w:sz w:val="20"/>
        </w:rPr>
      </w:pPr>
      <w:r>
        <w:rPr>
          <w:rFonts w:cs="Arial" w:ascii="Arial" w:hAnsi="Arial"/>
          <w:sz w:val="20"/>
        </w:rPr>
      </w:r>
    </w:p>
    <w:p>
      <w:pPr>
        <w:pStyle w:val="Normal"/>
        <w:numPr>
          <w:ilvl w:val="0"/>
          <w:numId w:val="1"/>
        </w:numPr>
        <w:tabs>
          <w:tab w:val="clear" w:pos="708"/>
          <w:tab w:val="left" w:pos="426" w:leader="none"/>
          <w:tab w:val="left" w:pos="851" w:leader="none"/>
        </w:tabs>
        <w:ind w:left="720" w:hanging="720"/>
        <w:jc w:val="both"/>
        <w:rPr>
          <w:b/>
          <w:b/>
          <w:bCs/>
        </w:rPr>
      </w:pPr>
      <w:bookmarkStart w:id="2" w:name="__DdeLink__652_2400722767"/>
      <w:r>
        <w:rPr>
          <w:rFonts w:cs="Arial" w:ascii="Arial" w:hAnsi="Arial"/>
          <w:b/>
          <w:bCs/>
          <w:sz w:val="20"/>
        </w:rPr>
        <w:t>HYGIENICKÁ OPATŘENÍ: Žádáme, aby účastníci přeboru minimalizovali počet osob na turnaji. Při vstupu do areálu se každý příchozí zapíše do seznamu, kde podpisem stvrzuje, že je zdravý a v posledních 14 dnech nebyl v zahraničí. Kromě sportujících osob musí všichni povinně dodržovat nošení roušek, bezpečný odstup a základní hygienická pravidla.</w:t>
      </w:r>
      <w:bookmarkEnd w:id="2"/>
    </w:p>
    <w:p>
      <w:pPr>
        <w:pStyle w:val="Normal"/>
        <w:tabs>
          <w:tab w:val="clear" w:pos="708"/>
          <w:tab w:val="left" w:pos="426" w:leader="none"/>
          <w:tab w:val="left" w:pos="709" w:leader="none"/>
        </w:tabs>
        <w:rPr>
          <w:rFonts w:ascii="Arial" w:hAnsi="Arial" w:cs="Arial"/>
          <w:sz w:val="20"/>
        </w:rPr>
      </w:pPr>
      <w:r>
        <w:rPr>
          <w:rFonts w:cs="Arial" w:ascii="Arial" w:hAnsi="Arial"/>
          <w:sz w:val="20"/>
        </w:rPr>
      </w:r>
    </w:p>
    <w:p>
      <w:pPr>
        <w:pStyle w:val="Normal"/>
        <w:tabs>
          <w:tab w:val="clear" w:pos="708"/>
          <w:tab w:val="center" w:pos="1701" w:leader="none"/>
        </w:tabs>
        <w:rPr/>
      </w:pPr>
      <w:r>
        <w:rPr>
          <w:rFonts w:cs="Arial" w:ascii="Arial" w:hAnsi="Arial"/>
          <w:sz w:val="20"/>
        </w:rPr>
        <w:tab/>
        <w:t>V Českých Budějovicích 19. 5. 2020</w:t>
      </w:r>
    </w:p>
    <w:p>
      <w:pPr>
        <w:pStyle w:val="Normal"/>
        <w:tabs>
          <w:tab w:val="clear" w:pos="708"/>
          <w:tab w:val="left" w:pos="426" w:leader="none"/>
          <w:tab w:val="left" w:pos="709" w:leader="none"/>
        </w:tabs>
        <w:rPr>
          <w:rFonts w:ascii="Arial" w:hAnsi="Arial" w:cs="Arial"/>
          <w:sz w:val="20"/>
        </w:rPr>
      </w:pPr>
      <w:r>
        <w:rPr>
          <w:rFonts w:cs="Arial" w:ascii="Arial" w:hAnsi="Arial"/>
          <w:sz w:val="20"/>
        </w:rPr>
      </w:r>
    </w:p>
    <w:p>
      <w:pPr>
        <w:pStyle w:val="Normal"/>
        <w:tabs>
          <w:tab w:val="clear" w:pos="708"/>
          <w:tab w:val="center" w:pos="1701" w:leader="none"/>
          <w:tab w:val="center" w:pos="5387" w:leader="none"/>
        </w:tabs>
        <w:rPr/>
      </w:pPr>
      <w:r>
        <w:rPr>
          <w:rFonts w:cs="Arial" w:ascii="Arial" w:hAnsi="Arial"/>
          <w:sz w:val="20"/>
        </w:rPr>
        <w:tab/>
        <w:t>Pavel Hložek</w:t>
        <w:tab/>
        <w:t>Martin D</w:t>
      </w:r>
      <w:r>
        <w:rPr>
          <w:rFonts w:cs="Arial" w:ascii="Arial" w:hAnsi="Arial"/>
          <w:sz w:val="20"/>
        </w:rPr>
        <w:t>vořák</w:t>
      </w:r>
      <w:r>
        <w:rPr>
          <w:rFonts w:cs="Arial" w:ascii="Arial" w:hAnsi="Arial"/>
          <w:sz w:val="20"/>
        </w:rPr>
        <w:br/>
        <w:tab/>
        <w:t>předseda</w:t>
        <w:tab/>
        <w:t>předseda STK</w:t>
      </w:r>
    </w:p>
    <w:p>
      <w:pPr>
        <w:pStyle w:val="Normal"/>
        <w:rPr>
          <w:rFonts w:ascii="Arial" w:hAnsi="Arial" w:cs="Arial"/>
          <w:sz w:val="20"/>
        </w:rPr>
      </w:pPr>
      <w:r>
        <w:rPr>
          <w:rFonts w:cs="Arial" w:ascii="Arial" w:hAnsi="Arial"/>
          <w:sz w:val="20"/>
        </w:rPr>
      </w:r>
    </w:p>
    <w:p>
      <w:pPr>
        <w:pStyle w:val="Normal"/>
        <w:rPr/>
      </w:pPr>
      <w:r>
        <w:rPr/>
      </w:r>
    </w:p>
    <w:sectPr>
      <w:type w:val="nextPage"/>
      <w:pgSz w:orient="landscape" w:w="16838" w:h="11906"/>
      <w:pgMar w:left="567" w:right="567" w:header="720" w:top="567" w:footer="720" w:bottom="567" w:gutter="0"/>
      <w:pgNumType w:fmt="decimal"/>
      <w:cols w:num="2" w:space="1134"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cs-CZ" w:eastAsia="cs-CZ"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Inden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2c35"/>
    <w:pPr>
      <w:widowControl/>
      <w:bidi w:val="0"/>
      <w:jc w:val="left"/>
    </w:pPr>
    <w:rPr>
      <w:rFonts w:ascii="Times New Roman" w:hAnsi="Times New Roman" w:eastAsia="Times New Roman" w:cs="Times New Roman"/>
      <w:color w:val="auto"/>
      <w:kern w:val="0"/>
      <w:sz w:val="24"/>
      <w:szCs w:val="24"/>
      <w:lang w:val="cs-CZ" w:eastAsia="cs-CZ" w:bidi="ar-SA"/>
    </w:rPr>
  </w:style>
  <w:style w:type="character" w:styleId="DefaultParagraphFont" w:default="1">
    <w:name w:val="Default Paragraph Font"/>
    <w:uiPriority w:val="1"/>
    <w:semiHidden/>
    <w:unhideWhenUsed/>
    <w:qFormat/>
    <w:rPr/>
  </w:style>
  <w:style w:type="character" w:styleId="ZkladntextChar" w:customStyle="1">
    <w:name w:val="Základní text Char"/>
    <w:link w:val="Zkladntext"/>
    <w:semiHidden/>
    <w:qFormat/>
    <w:rsid w:val="00802c35"/>
    <w:rPr>
      <w:rFonts w:ascii="Arial" w:hAnsi="Arial" w:eastAsia="Times New Roman" w:cs="Times New Roman"/>
      <w:sz w:val="20"/>
      <w:szCs w:val="20"/>
      <w:lang w:eastAsia="cs-CZ"/>
    </w:rPr>
  </w:style>
  <w:style w:type="character" w:styleId="ZkladntextodsazenChar" w:customStyle="1">
    <w:name w:val="Základní text odsazený Char"/>
    <w:link w:val="Zkladntextodsazen"/>
    <w:semiHidden/>
    <w:qFormat/>
    <w:rsid w:val="00802c35"/>
    <w:rPr>
      <w:rFonts w:ascii="Arial" w:hAnsi="Arial" w:eastAsia="Times New Roman" w:cs="Times New Roman"/>
      <w:sz w:val="20"/>
      <w:szCs w:val="20"/>
      <w:lang w:eastAsia="cs-CZ"/>
    </w:rPr>
  </w:style>
  <w:style w:type="character" w:styleId="Zkladntextodsazen2Char" w:customStyle="1">
    <w:name w:val="Základní text odsazený 2 Char"/>
    <w:link w:val="Zkladntextodsazen2"/>
    <w:semiHidden/>
    <w:qFormat/>
    <w:rsid w:val="00802c35"/>
    <w:rPr>
      <w:rFonts w:ascii="Arial" w:hAnsi="Arial" w:eastAsia="Times New Roman" w:cs="Times New Roman"/>
      <w:sz w:val="20"/>
      <w:szCs w:val="20"/>
      <w:lang w:eastAsia="cs-CZ"/>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semiHidden/>
    <w:rsid w:val="00802c35"/>
    <w:pPr>
      <w:jc w:val="center"/>
    </w:pPr>
    <w:rPr>
      <w:rFonts w:ascii="Arial" w:hAnsi="Arial"/>
      <w:sz w:val="20"/>
      <w:szCs w:val="20"/>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dsazentlatextu">
    <w:name w:val="Body Text Indent"/>
    <w:basedOn w:val="Normal"/>
    <w:link w:val="ZkladntextodsazenChar"/>
    <w:semiHidden/>
    <w:rsid w:val="00802c35"/>
    <w:pPr>
      <w:tabs>
        <w:tab w:val="clear" w:pos="708"/>
        <w:tab w:val="left" w:pos="851" w:leader="none"/>
      </w:tabs>
      <w:ind w:left="2127" w:hanging="0"/>
    </w:pPr>
    <w:rPr>
      <w:rFonts w:ascii="Arial" w:hAnsi="Arial"/>
      <w:sz w:val="20"/>
      <w:szCs w:val="20"/>
    </w:rPr>
  </w:style>
  <w:style w:type="paragraph" w:styleId="BodyTextIndent2">
    <w:name w:val="Body Text Indent 2"/>
    <w:basedOn w:val="Normal"/>
    <w:link w:val="Zkladntextodsazen2Char"/>
    <w:semiHidden/>
    <w:qFormat/>
    <w:rsid w:val="00802c35"/>
    <w:pPr>
      <w:tabs>
        <w:tab w:val="clear" w:pos="708"/>
        <w:tab w:val="left" w:pos="851" w:leader="none"/>
      </w:tabs>
      <w:ind w:left="851" w:hanging="0"/>
    </w:pPr>
    <w:rPr>
      <w:rFonts w:ascii="Arial" w:hAnsi="Arial"/>
      <w:sz w:val="20"/>
      <w:szCs w:val="20"/>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Application>LibreOffice/6.2.0.3$Windows_X86_64 LibreOffice_project/98c6a8a1c6c7b144ce3cc729e34964b47ce25d62</Application>
  <Pages>1</Pages>
  <Words>506</Words>
  <Characters>2635</Characters>
  <CharactersWithSpaces>3089</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2019-02-14T13:50:00Z</dcterms:created>
  <dc:creator>Pavel Kortus ml.</dc:creator>
  <dc:description/>
  <dc:language>cs-CZ</dc:language>
  <cp:lastModifiedBy/>
  <cp:lastPrinted>2019-02-16T11:39:00Z</cp:lastPrinted>
  <dcterms:modified xsi:type="dcterms:W3CDTF">2020-05-19T15:22:49Z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