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9" w:rsidRPr="0086106A" w:rsidRDefault="0016204F" w:rsidP="0016204F">
      <w:pPr>
        <w:jc w:val="center"/>
        <w:rPr>
          <w:b/>
          <w:sz w:val="36"/>
          <w:u w:val="single"/>
        </w:rPr>
      </w:pPr>
      <w:r w:rsidRPr="0086106A">
        <w:rPr>
          <w:b/>
          <w:sz w:val="36"/>
          <w:u w:val="single"/>
        </w:rPr>
        <w:t>STANDARDY MISTROVSTVÍ ČR mládeže</w:t>
      </w:r>
    </w:p>
    <w:p w:rsidR="0016204F" w:rsidRDefault="0016204F" w:rsidP="0016204F">
      <w:pPr>
        <w:jc w:val="both"/>
      </w:pPr>
    </w:p>
    <w:p w:rsidR="0016204F" w:rsidRPr="0086106A" w:rsidRDefault="0016204F" w:rsidP="0086106A">
      <w:pPr>
        <w:spacing w:after="240"/>
        <w:jc w:val="both"/>
        <w:rPr>
          <w:u w:val="single"/>
        </w:rPr>
      </w:pPr>
      <w:r w:rsidRPr="0086106A">
        <w:rPr>
          <w:u w:val="single"/>
        </w:rPr>
        <w:t>Všeobecné:</w:t>
      </w:r>
    </w:p>
    <w:p w:rsidR="0016204F" w:rsidRDefault="0016204F" w:rsidP="0086106A">
      <w:pPr>
        <w:numPr>
          <w:ilvl w:val="0"/>
          <w:numId w:val="13"/>
        </w:numPr>
        <w:spacing w:after="240"/>
        <w:jc w:val="both"/>
      </w:pPr>
      <w:r>
        <w:t xml:space="preserve">Vlajka ČR je viditelně vyvěšena na hale po celou dobu konání MČR. V případě, že </w:t>
      </w:r>
      <w:r w:rsidR="0086106A">
        <w:t>pořadatel</w:t>
      </w:r>
      <w:r>
        <w:t xml:space="preserve"> vlajku nemá, dá požadavek na ČAST.</w:t>
      </w:r>
    </w:p>
    <w:p w:rsidR="0016204F" w:rsidRDefault="0016204F" w:rsidP="0086106A">
      <w:pPr>
        <w:numPr>
          <w:ilvl w:val="0"/>
          <w:numId w:val="13"/>
        </w:numPr>
        <w:spacing w:after="240"/>
        <w:jc w:val="both"/>
      </w:pPr>
      <w:r>
        <w:t>Výsledky všech soutěží budou vyvěšeny na hale (minimálně n</w:t>
      </w:r>
      <w:r w:rsidR="00372A8C">
        <w:t>a 1 místě) na výsledkové tabuli, či přilepené na stěně, a to na dobře přístupném místě.</w:t>
      </w:r>
    </w:p>
    <w:p w:rsidR="00372A8C" w:rsidRDefault="00372A8C" w:rsidP="0086106A">
      <w:pPr>
        <w:numPr>
          <w:ilvl w:val="0"/>
          <w:numId w:val="13"/>
        </w:numPr>
        <w:spacing w:after="240"/>
        <w:jc w:val="both"/>
      </w:pPr>
      <w:r>
        <w:t xml:space="preserve">Rozhodčí </w:t>
      </w:r>
      <w:r w:rsidR="00004F01">
        <w:t>důsledně kontrolují a postihují</w:t>
      </w:r>
      <w:r>
        <w:t xml:space="preserve"> nesportovní chování hráčů i trenérů (vrchní rozhodčí upozorní účastníky MČR při zahájení)</w:t>
      </w:r>
      <w:r w:rsidR="0086106A">
        <w:t>.</w:t>
      </w:r>
    </w:p>
    <w:p w:rsidR="00372A8C" w:rsidRDefault="00372A8C" w:rsidP="0086106A">
      <w:pPr>
        <w:numPr>
          <w:ilvl w:val="0"/>
          <w:numId w:val="13"/>
        </w:numPr>
        <w:spacing w:after="240"/>
        <w:jc w:val="both"/>
      </w:pPr>
      <w:r>
        <w:t>Během MČR může být prováděna kontrola pálek (na přítomnost těkavých látek, konkávnost – konvexnost a tloušťku potahů). Informace o možnosti kontroly pálek je uvedena v rozpisu MČR a vrchní rozhodčí upozorní účastníky při zahájení MČR.</w:t>
      </w:r>
    </w:p>
    <w:p w:rsidR="002129EC" w:rsidRDefault="0099316C" w:rsidP="00372A8C">
      <w:pPr>
        <w:numPr>
          <w:ilvl w:val="0"/>
          <w:numId w:val="13"/>
        </w:numPr>
        <w:jc w:val="both"/>
      </w:pPr>
      <w:r>
        <w:t>Každý hráč je povinen mít s</w:t>
      </w:r>
      <w:r w:rsidR="00E95B7C">
        <w:t> </w:t>
      </w:r>
      <w:r>
        <w:t>sebou</w:t>
      </w:r>
      <w:r w:rsidR="00E95B7C">
        <w:t xml:space="preserve"> alespoň</w:t>
      </w:r>
      <w:r>
        <w:t xml:space="preserve"> 2 </w:t>
      </w:r>
      <w:r w:rsidR="00E95B7C">
        <w:t>dresy</w:t>
      </w:r>
      <w:r>
        <w:t xml:space="preserve"> rozdílných základních barev, aby v případě bar</w:t>
      </w:r>
      <w:r w:rsidR="0086106A">
        <w:t>evné shody rozhodčí losem určil</w:t>
      </w:r>
      <w:r>
        <w:t xml:space="preserve"> hráče, který se převlékne do druhé barevné varianty.</w:t>
      </w:r>
    </w:p>
    <w:p w:rsidR="00372A8C" w:rsidRDefault="00372A8C" w:rsidP="00D903BB">
      <w:pPr>
        <w:jc w:val="both"/>
      </w:pPr>
    </w:p>
    <w:p w:rsidR="00D903BB" w:rsidRPr="0086106A" w:rsidRDefault="0086106A" w:rsidP="0086106A">
      <w:pPr>
        <w:spacing w:after="240"/>
        <w:jc w:val="both"/>
        <w:rPr>
          <w:u w:val="single"/>
        </w:rPr>
      </w:pPr>
      <w:r w:rsidRPr="0086106A">
        <w:rPr>
          <w:u w:val="single"/>
        </w:rPr>
        <w:t>Slavnostní z</w:t>
      </w:r>
      <w:r w:rsidR="002129EC" w:rsidRPr="0086106A">
        <w:rPr>
          <w:u w:val="single"/>
        </w:rPr>
        <w:t>ahájení</w:t>
      </w:r>
      <w:r w:rsidR="00D903BB" w:rsidRPr="0086106A">
        <w:rPr>
          <w:u w:val="single"/>
        </w:rPr>
        <w:t>:</w:t>
      </w:r>
    </w:p>
    <w:p w:rsidR="00D903BB" w:rsidRDefault="00D903BB" w:rsidP="0086106A">
      <w:pPr>
        <w:numPr>
          <w:ilvl w:val="0"/>
          <w:numId w:val="14"/>
        </w:numPr>
        <w:spacing w:after="240"/>
        <w:jc w:val="both"/>
      </w:pPr>
      <w:r>
        <w:t>Pořádající oddíl je povinen zajistit reprodukci české státní hymny při slavnostním zahájení MČR.</w:t>
      </w:r>
    </w:p>
    <w:p w:rsidR="00D903BB" w:rsidRDefault="00D903BB" w:rsidP="00D903BB">
      <w:pPr>
        <w:numPr>
          <w:ilvl w:val="0"/>
          <w:numId w:val="14"/>
        </w:numPr>
        <w:jc w:val="both"/>
      </w:pPr>
      <w:r>
        <w:t>V průběhu zahájení MČR upozorní vrchní rozhodčí na možnou kontrolu pálek a důsledné kontrolování chování účastníků MČR.</w:t>
      </w:r>
    </w:p>
    <w:p w:rsidR="00D903BB" w:rsidRDefault="00D903BB" w:rsidP="00D903BB">
      <w:pPr>
        <w:jc w:val="both"/>
      </w:pPr>
    </w:p>
    <w:p w:rsidR="00D903BB" w:rsidRPr="0086106A" w:rsidRDefault="00D903BB" w:rsidP="0086106A">
      <w:pPr>
        <w:spacing w:after="240"/>
        <w:jc w:val="both"/>
        <w:rPr>
          <w:u w:val="single"/>
        </w:rPr>
      </w:pPr>
      <w:r w:rsidRPr="0086106A">
        <w:rPr>
          <w:u w:val="single"/>
        </w:rPr>
        <w:t>Finálový program:</w:t>
      </w:r>
    </w:p>
    <w:p w:rsidR="002129EC" w:rsidRDefault="00D903BB" w:rsidP="002129EC">
      <w:pPr>
        <w:numPr>
          <w:ilvl w:val="0"/>
          <w:numId w:val="15"/>
        </w:numPr>
        <w:jc w:val="both"/>
      </w:pPr>
      <w:r>
        <w:t>V průběhu finálového programu p</w:t>
      </w:r>
      <w:r w:rsidR="002129EC">
        <w:t>roběhne, před každým jedním soutěžním kolem (popř. zápasem) společný nástup rozhodčího /rozhodčích/</w:t>
      </w:r>
      <w:r w:rsidR="00E95B7C">
        <w:t xml:space="preserve"> a hráčů</w:t>
      </w:r>
      <w:r w:rsidR="002129EC">
        <w:t xml:space="preserve"> do hracího prostoru z prostoru pro svolávání hráčů a rozhodčích tzv. „call area“.</w:t>
      </w:r>
    </w:p>
    <w:p w:rsidR="002129EC" w:rsidRDefault="002129EC" w:rsidP="002129EC">
      <w:pPr>
        <w:jc w:val="both"/>
      </w:pPr>
    </w:p>
    <w:p w:rsidR="00D903BB" w:rsidRPr="0086106A" w:rsidRDefault="002129EC" w:rsidP="0086106A">
      <w:pPr>
        <w:spacing w:after="240"/>
        <w:jc w:val="both"/>
        <w:rPr>
          <w:u w:val="single"/>
        </w:rPr>
      </w:pPr>
      <w:r w:rsidRPr="0086106A">
        <w:rPr>
          <w:u w:val="single"/>
        </w:rPr>
        <w:t>Slavnostní vyhlášení:</w:t>
      </w:r>
    </w:p>
    <w:p w:rsidR="002129EC" w:rsidRDefault="0086106A" w:rsidP="0086106A">
      <w:pPr>
        <w:numPr>
          <w:ilvl w:val="0"/>
          <w:numId w:val="15"/>
        </w:numPr>
        <w:spacing w:after="240"/>
        <w:jc w:val="both"/>
      </w:pPr>
      <w:r>
        <w:t>Pořadatel</w:t>
      </w:r>
      <w:r w:rsidR="002129EC">
        <w:t xml:space="preserve"> zajistí stupně vítězů pro závěrečné vyhlášení. ČAST vždy dodá pořadateli poháry, medaile, diplomy a míčky. ČAST dodá 2 ks roll-upů, které budou vystaveny za stupni vítězů po celou dobu vyhlášení. </w:t>
      </w:r>
      <w:bookmarkStart w:id="0" w:name="_GoBack"/>
      <w:bookmarkEnd w:id="0"/>
    </w:p>
    <w:p w:rsidR="002129EC" w:rsidRPr="0016204F" w:rsidRDefault="002129EC" w:rsidP="002129EC">
      <w:pPr>
        <w:numPr>
          <w:ilvl w:val="0"/>
          <w:numId w:val="15"/>
        </w:numPr>
        <w:jc w:val="both"/>
      </w:pPr>
      <w:r>
        <w:t>Všichni medailisté jsou povinni se slavnostního vyhlášení zúčastnit (viz rozpis mistrovství), a to ve sportovním oblečení, tj. tričko, šortky, popř. tepláková souprava.</w:t>
      </w:r>
      <w:r w:rsidR="00E95B7C">
        <w:t xml:space="preserve"> Porušení (tj. neomluvená neúčast na vyhlášení) je považov</w:t>
      </w:r>
      <w:r w:rsidR="00B95CDC">
        <w:t>áno za porušení rozpisu MČR (</w:t>
      </w:r>
      <w:r w:rsidR="00E95B7C">
        <w:t>nesplnění povinností účastníka soutěže).</w:t>
      </w:r>
    </w:p>
    <w:p w:rsidR="00D639B9" w:rsidRPr="0086106A" w:rsidRDefault="00A76771" w:rsidP="00D639B9">
      <w:pPr>
        <w:ind w:left="4470"/>
      </w:pPr>
      <w:r>
        <w:rPr>
          <w:b/>
          <w:sz w:val="40"/>
          <w:szCs w:val="40"/>
        </w:rPr>
        <w:t xml:space="preserve"> </w:t>
      </w:r>
    </w:p>
    <w:p w:rsidR="00D639B9" w:rsidRPr="0086106A" w:rsidRDefault="0086106A" w:rsidP="00813959">
      <w:pPr>
        <w:jc w:val="both"/>
        <w:rPr>
          <w:szCs w:val="28"/>
        </w:rPr>
      </w:pPr>
      <w:r w:rsidRPr="0086106A">
        <w:rPr>
          <w:szCs w:val="28"/>
        </w:rPr>
        <w:t xml:space="preserve">Schváleno: </w:t>
      </w:r>
      <w:r w:rsidR="00A63E8C">
        <w:rPr>
          <w:szCs w:val="28"/>
        </w:rPr>
        <w:t>KM ČAST dne 26</w:t>
      </w:r>
      <w:r w:rsidR="00004F01" w:rsidRPr="00004F01">
        <w:rPr>
          <w:szCs w:val="28"/>
        </w:rPr>
        <w:t>. 4</w:t>
      </w:r>
      <w:r w:rsidR="00A63E8C">
        <w:rPr>
          <w:szCs w:val="28"/>
        </w:rPr>
        <w:t>. 2015</w:t>
      </w:r>
    </w:p>
    <w:sectPr w:rsidR="00D639B9" w:rsidRPr="0086106A" w:rsidSect="00A27E60">
      <w:headerReference w:type="default" r:id="rId8"/>
      <w:footerReference w:type="default" r:id="rId9"/>
      <w:pgSz w:w="11906" w:h="16838"/>
      <w:pgMar w:top="851" w:right="110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069" w:rsidRDefault="006C1069">
      <w:r>
        <w:separator/>
      </w:r>
    </w:p>
  </w:endnote>
  <w:endnote w:type="continuationSeparator" w:id="0">
    <w:p w:rsidR="006C1069" w:rsidRDefault="006C1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7B6" w:rsidRDefault="000327B6">
    <w:pPr>
      <w:pStyle w:val="Zpat"/>
      <w:rPr>
        <w:rFonts w:ascii="Arial" w:hAnsi="Arial"/>
        <w:sz w:val="20"/>
      </w:rPr>
    </w:pPr>
    <w:r>
      <w:rPr>
        <w:rFonts w:ascii="Arial" w:hAnsi="Arial"/>
      </w:rPr>
      <w:t>Česká asociace stolního tenisu</w:t>
    </w:r>
    <w:r>
      <w:rPr>
        <w:rFonts w:ascii="Arial" w:hAnsi="Arial"/>
        <w:sz w:val="20"/>
      </w:rPr>
      <w:t>, www.</w:t>
    </w:r>
    <w:r w:rsidR="00FE3244">
      <w:rPr>
        <w:rFonts w:ascii="Arial" w:hAnsi="Arial"/>
        <w:sz w:val="20"/>
      </w:rPr>
      <w:t>ping-pong.cz , e-mail: ctta@cuscz</w:t>
    </w:r>
    <w:r>
      <w:rPr>
        <w:rFonts w:ascii="Arial" w:hAnsi="Arial"/>
        <w:sz w:val="20"/>
      </w:rPr>
      <w:t xml:space="preserve">.cz,  tel. </w:t>
    </w:r>
    <w:r w:rsidR="00D75437">
      <w:rPr>
        <w:rFonts w:ascii="Arial" w:hAnsi="Arial"/>
        <w:sz w:val="20"/>
      </w:rPr>
      <w:t>233 017 337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069" w:rsidRDefault="006C1069">
      <w:r>
        <w:separator/>
      </w:r>
    </w:p>
  </w:footnote>
  <w:footnote w:type="continuationSeparator" w:id="0">
    <w:p w:rsidR="006C1069" w:rsidRDefault="006C1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153"/>
      <w:gridCol w:w="915"/>
      <w:gridCol w:w="2069"/>
      <w:gridCol w:w="2069"/>
      <w:gridCol w:w="2069"/>
      <w:gridCol w:w="2069"/>
    </w:tblGrid>
    <w:tr w:rsidR="000327B6">
      <w:tc>
        <w:tcPr>
          <w:tcW w:w="1153" w:type="dxa"/>
        </w:tcPr>
        <w:p w:rsidR="000327B6" w:rsidRDefault="00A63E8C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638175" cy="888365"/>
                <wp:effectExtent l="19050" t="0" r="9525" b="0"/>
                <wp:docPr id="1" name="obrázek 1" descr="ČAST_logo_velk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ČAST_logo_velk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888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1" w:type="dxa"/>
          <w:gridSpan w:val="5"/>
        </w:tcPr>
        <w:p w:rsidR="000327B6" w:rsidRDefault="000327B6">
          <w:pPr>
            <w:pStyle w:val="Zhlav"/>
            <w:rPr>
              <w:rFonts w:ascii="Arial" w:hAnsi="Arial"/>
              <w:sz w:val="48"/>
            </w:rPr>
          </w:pPr>
          <w:r>
            <w:rPr>
              <w:rFonts w:ascii="Arial" w:hAnsi="Arial"/>
              <w:sz w:val="48"/>
            </w:rPr>
            <w:t>ČESKÁ ASOCIACE STOLNÍHO TENISU</w:t>
          </w:r>
        </w:p>
        <w:p w:rsidR="000327B6" w:rsidRDefault="000327B6">
          <w:pPr>
            <w:pStyle w:val="Zhlav"/>
            <w:rPr>
              <w:rFonts w:ascii="Arial" w:hAnsi="Arial"/>
            </w:rPr>
          </w:pPr>
          <w:r>
            <w:rPr>
              <w:rFonts w:ascii="Arial" w:hAnsi="Arial"/>
            </w:rPr>
            <w:t>CZECH TABLE TENNIS ASSOCIATION</w:t>
          </w:r>
          <w:r w:rsidR="009D445C">
            <w:rPr>
              <w:rFonts w:ascii="Arial" w:hAnsi="Arial"/>
            </w:rPr>
            <w:t>, IČ: 00676888</w:t>
          </w:r>
        </w:p>
        <w:p w:rsidR="000327B6" w:rsidRDefault="000327B6">
          <w:pPr>
            <w:pStyle w:val="Zhlav"/>
            <w:rPr>
              <w:rFonts w:ascii="Arial" w:hAnsi="Arial"/>
            </w:rPr>
          </w:pPr>
          <w:r>
            <w:rPr>
              <w:rFonts w:ascii="Arial" w:hAnsi="Arial"/>
            </w:rPr>
            <w:t>160 17, Praha 6, Zátopkova 100/2, pošt. schránka 40</w:t>
          </w:r>
        </w:p>
        <w:p w:rsidR="000327B6" w:rsidRDefault="000327B6">
          <w:pPr>
            <w:pStyle w:val="Zhlav"/>
            <w:rPr>
              <w:rFonts w:ascii="Arial" w:hAnsi="Arial"/>
            </w:rPr>
          </w:pPr>
          <w:r>
            <w:rPr>
              <w:rFonts w:ascii="Arial" w:hAnsi="Arial"/>
            </w:rPr>
            <w:t xml:space="preserve">www.ping-pong.cz , e-mail: </w:t>
          </w:r>
          <w:hyperlink r:id="rId2" w:history="1">
            <w:r w:rsidR="00FE3244" w:rsidRPr="00546572">
              <w:rPr>
                <w:rStyle w:val="Hypertextovodkaz"/>
                <w:rFonts w:ascii="Arial" w:hAnsi="Arial"/>
              </w:rPr>
              <w:t>ctta@cuscz.cz</w:t>
            </w:r>
          </w:hyperlink>
          <w:r>
            <w:rPr>
              <w:rFonts w:ascii="Arial" w:hAnsi="Arial"/>
            </w:rPr>
            <w:t xml:space="preserve">  fax: 00420 </w:t>
          </w:r>
          <w:r w:rsidR="00D75437" w:rsidRPr="00D75437">
            <w:rPr>
              <w:rFonts w:ascii="Arial" w:hAnsi="Arial"/>
            </w:rPr>
            <w:t>242 429 250</w:t>
          </w:r>
        </w:p>
      </w:tc>
    </w:tr>
    <w:tr w:rsidR="000327B6">
      <w:trPr>
        <w:cantSplit/>
        <w:trHeight w:val="756"/>
      </w:trPr>
      <w:tc>
        <w:tcPr>
          <w:tcW w:w="2068" w:type="dxa"/>
          <w:gridSpan w:val="2"/>
          <w:vAlign w:val="center"/>
        </w:tcPr>
        <w:p w:rsidR="000327B6" w:rsidRDefault="00A63E8C">
          <w:pPr>
            <w:pStyle w:val="Zhlav"/>
            <w:jc w:val="center"/>
            <w:rPr>
              <w:rFonts w:ascii="Arial" w:hAnsi="Arial"/>
              <w:sz w:val="48"/>
            </w:rPr>
          </w:pPr>
          <w:r>
            <w:rPr>
              <w:rFonts w:ascii="Arial" w:hAnsi="Arial"/>
              <w:noProof/>
              <w:sz w:val="48"/>
            </w:rPr>
            <w:drawing>
              <wp:inline distT="0" distB="0" distL="0" distR="0">
                <wp:extent cx="1224915" cy="483235"/>
                <wp:effectExtent l="19050" t="0" r="0" b="0"/>
                <wp:docPr id="2" name="obrázek 2" descr="JOOLA07_blue175x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OOLA07_blue175x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915" cy="483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9" w:type="dxa"/>
          <w:vAlign w:val="center"/>
        </w:tcPr>
        <w:p w:rsidR="000327B6" w:rsidRDefault="00A63E8C" w:rsidP="00FE3244">
          <w:pPr>
            <w:pStyle w:val="Zhlav"/>
            <w:jc w:val="center"/>
            <w:rPr>
              <w:rFonts w:ascii="Arial" w:hAnsi="Arial"/>
              <w:sz w:val="48"/>
            </w:rPr>
          </w:pPr>
          <w:r>
            <w:rPr>
              <w:rFonts w:ascii="Arial" w:hAnsi="Arial"/>
              <w:noProof/>
              <w:sz w:val="48"/>
            </w:rPr>
            <w:drawing>
              <wp:inline distT="0" distB="0" distL="0" distR="0">
                <wp:extent cx="1224915" cy="483235"/>
                <wp:effectExtent l="19050" t="0" r="0" b="0"/>
                <wp:docPr id="3" name="obrázek 3" descr="JOOLA07_blue175x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JOOLA07_blue175x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915" cy="483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9" w:type="dxa"/>
          <w:vAlign w:val="center"/>
        </w:tcPr>
        <w:p w:rsidR="000327B6" w:rsidRDefault="00A63E8C">
          <w:pPr>
            <w:pStyle w:val="Zhlav"/>
            <w:jc w:val="center"/>
            <w:rPr>
              <w:rFonts w:ascii="Arial" w:hAnsi="Arial"/>
              <w:sz w:val="48"/>
            </w:rPr>
          </w:pPr>
          <w:r>
            <w:rPr>
              <w:rFonts w:ascii="Arial" w:hAnsi="Arial"/>
              <w:noProof/>
              <w:sz w:val="48"/>
            </w:rPr>
            <w:drawing>
              <wp:inline distT="0" distB="0" distL="0" distR="0">
                <wp:extent cx="1224915" cy="483235"/>
                <wp:effectExtent l="19050" t="0" r="0" b="0"/>
                <wp:docPr id="4" name="obrázek 4" descr="JOOLA07_blue175x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JOOLA07_blue175x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915" cy="483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9" w:type="dxa"/>
          <w:vAlign w:val="center"/>
        </w:tcPr>
        <w:p w:rsidR="000327B6" w:rsidRPr="00C15F6D" w:rsidRDefault="00A63E8C">
          <w:pPr>
            <w:pStyle w:val="Zhlav"/>
            <w:jc w:val="center"/>
            <w:rPr>
              <w:rFonts w:ascii="Arial" w:hAnsi="Arial"/>
              <w:sz w:val="48"/>
            </w:rPr>
          </w:pPr>
          <w:r>
            <w:rPr>
              <w:rFonts w:ascii="Arial" w:hAnsi="Arial"/>
              <w:noProof/>
              <w:sz w:val="48"/>
            </w:rPr>
            <w:drawing>
              <wp:inline distT="0" distB="0" distL="0" distR="0">
                <wp:extent cx="1224915" cy="483235"/>
                <wp:effectExtent l="19050" t="0" r="0" b="0"/>
                <wp:docPr id="5" name="obrázek 5" descr="JOOLA07_blue175x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OOLA07_blue175x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915" cy="483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9" w:type="dxa"/>
          <w:vAlign w:val="center"/>
        </w:tcPr>
        <w:p w:rsidR="000327B6" w:rsidRDefault="00A63E8C">
          <w:pPr>
            <w:pStyle w:val="Zhlav"/>
            <w:jc w:val="center"/>
            <w:rPr>
              <w:rFonts w:ascii="Arial" w:hAnsi="Arial"/>
              <w:sz w:val="48"/>
            </w:rPr>
          </w:pPr>
          <w:r>
            <w:rPr>
              <w:rFonts w:ascii="Arial" w:hAnsi="Arial"/>
              <w:noProof/>
              <w:sz w:val="48"/>
            </w:rPr>
            <w:drawing>
              <wp:inline distT="0" distB="0" distL="0" distR="0">
                <wp:extent cx="1224915" cy="483235"/>
                <wp:effectExtent l="19050" t="0" r="0" b="0"/>
                <wp:docPr id="6" name="obrázek 6" descr="JOOLA07_blue175x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JOOLA07_blue175x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915" cy="483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327B6" w:rsidRDefault="000327B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96C"/>
    <w:multiLevelType w:val="hybridMultilevel"/>
    <w:tmpl w:val="D10C39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F227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C84032"/>
    <w:multiLevelType w:val="hybridMultilevel"/>
    <w:tmpl w:val="EE189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843AF"/>
    <w:multiLevelType w:val="hybridMultilevel"/>
    <w:tmpl w:val="F5C89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27A6C"/>
    <w:multiLevelType w:val="hybridMultilevel"/>
    <w:tmpl w:val="4260B50A"/>
    <w:lvl w:ilvl="0" w:tplc="1F4E7ACC">
      <w:start w:val="1"/>
      <w:numFmt w:val="decimal"/>
      <w:lvlText w:val="%1."/>
      <w:lvlJc w:val="left"/>
      <w:pPr>
        <w:ind w:left="483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5550" w:hanging="360"/>
      </w:pPr>
    </w:lvl>
    <w:lvl w:ilvl="2" w:tplc="0405001B">
      <w:start w:val="1"/>
      <w:numFmt w:val="lowerRoman"/>
      <w:lvlText w:val="%3."/>
      <w:lvlJc w:val="right"/>
      <w:pPr>
        <w:ind w:left="6270" w:hanging="180"/>
      </w:pPr>
    </w:lvl>
    <w:lvl w:ilvl="3" w:tplc="0405000F" w:tentative="1">
      <w:start w:val="1"/>
      <w:numFmt w:val="decimal"/>
      <w:lvlText w:val="%4."/>
      <w:lvlJc w:val="left"/>
      <w:pPr>
        <w:ind w:left="6990" w:hanging="360"/>
      </w:pPr>
    </w:lvl>
    <w:lvl w:ilvl="4" w:tplc="04050019" w:tentative="1">
      <w:start w:val="1"/>
      <w:numFmt w:val="lowerLetter"/>
      <w:lvlText w:val="%5."/>
      <w:lvlJc w:val="left"/>
      <w:pPr>
        <w:ind w:left="7710" w:hanging="360"/>
      </w:pPr>
    </w:lvl>
    <w:lvl w:ilvl="5" w:tplc="0405001B" w:tentative="1">
      <w:start w:val="1"/>
      <w:numFmt w:val="lowerRoman"/>
      <w:lvlText w:val="%6."/>
      <w:lvlJc w:val="right"/>
      <w:pPr>
        <w:ind w:left="8430" w:hanging="180"/>
      </w:pPr>
    </w:lvl>
    <w:lvl w:ilvl="6" w:tplc="0405000F" w:tentative="1">
      <w:start w:val="1"/>
      <w:numFmt w:val="decimal"/>
      <w:lvlText w:val="%7."/>
      <w:lvlJc w:val="left"/>
      <w:pPr>
        <w:ind w:left="9150" w:hanging="360"/>
      </w:pPr>
    </w:lvl>
    <w:lvl w:ilvl="7" w:tplc="04050019" w:tentative="1">
      <w:start w:val="1"/>
      <w:numFmt w:val="lowerLetter"/>
      <w:lvlText w:val="%8."/>
      <w:lvlJc w:val="left"/>
      <w:pPr>
        <w:ind w:left="9870" w:hanging="360"/>
      </w:pPr>
    </w:lvl>
    <w:lvl w:ilvl="8" w:tplc="0405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5">
    <w:nsid w:val="26A548D9"/>
    <w:multiLevelType w:val="singleLevel"/>
    <w:tmpl w:val="1E2CD616"/>
    <w:lvl w:ilvl="0"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6">
    <w:nsid w:val="43D334D1"/>
    <w:multiLevelType w:val="singleLevel"/>
    <w:tmpl w:val="F19443FE"/>
    <w:lvl w:ilvl="0">
      <w:numFmt w:val="bullet"/>
      <w:lvlText w:val="-"/>
      <w:lvlJc w:val="left"/>
      <w:pPr>
        <w:tabs>
          <w:tab w:val="num" w:pos="661"/>
        </w:tabs>
        <w:ind w:left="658" w:hanging="357"/>
      </w:pPr>
      <w:rPr>
        <w:rFonts w:hint="default"/>
      </w:rPr>
    </w:lvl>
  </w:abstractNum>
  <w:abstractNum w:abstractNumId="7">
    <w:nsid w:val="4496039B"/>
    <w:multiLevelType w:val="hybridMultilevel"/>
    <w:tmpl w:val="FAF04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E805EC"/>
    <w:multiLevelType w:val="hybridMultilevel"/>
    <w:tmpl w:val="BFE8A40A"/>
    <w:lvl w:ilvl="0" w:tplc="4BAA4688">
      <w:start w:val="1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247049"/>
    <w:multiLevelType w:val="hybridMultilevel"/>
    <w:tmpl w:val="CA441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155FA"/>
    <w:multiLevelType w:val="hybridMultilevel"/>
    <w:tmpl w:val="432662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5D469E"/>
    <w:multiLevelType w:val="hybridMultilevel"/>
    <w:tmpl w:val="BB4247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0E2F2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5396936"/>
    <w:multiLevelType w:val="hybridMultilevel"/>
    <w:tmpl w:val="0A4C5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D34928"/>
    <w:multiLevelType w:val="hybridMultilevel"/>
    <w:tmpl w:val="6B08887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6"/>
  </w:num>
  <w:num w:numId="5">
    <w:abstractNumId w:val="13"/>
  </w:num>
  <w:num w:numId="6">
    <w:abstractNumId w:val="10"/>
  </w:num>
  <w:num w:numId="7">
    <w:abstractNumId w:val="1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2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6204F"/>
    <w:rsid w:val="0000009E"/>
    <w:rsid w:val="00004F01"/>
    <w:rsid w:val="00011803"/>
    <w:rsid w:val="0002150A"/>
    <w:rsid w:val="000327B6"/>
    <w:rsid w:val="0003633B"/>
    <w:rsid w:val="00067775"/>
    <w:rsid w:val="00075B15"/>
    <w:rsid w:val="000E4602"/>
    <w:rsid w:val="0011680C"/>
    <w:rsid w:val="00135286"/>
    <w:rsid w:val="00135A2A"/>
    <w:rsid w:val="0016204F"/>
    <w:rsid w:val="0016640A"/>
    <w:rsid w:val="00170E7D"/>
    <w:rsid w:val="00176E9F"/>
    <w:rsid w:val="00196406"/>
    <w:rsid w:val="001C289F"/>
    <w:rsid w:val="001E7F46"/>
    <w:rsid w:val="002129EC"/>
    <w:rsid w:val="00226AA5"/>
    <w:rsid w:val="002359E7"/>
    <w:rsid w:val="002473AA"/>
    <w:rsid w:val="00264E29"/>
    <w:rsid w:val="00287CA2"/>
    <w:rsid w:val="00297B4E"/>
    <w:rsid w:val="002B75CD"/>
    <w:rsid w:val="002B7F03"/>
    <w:rsid w:val="002D1E06"/>
    <w:rsid w:val="002D3CAF"/>
    <w:rsid w:val="002E3C45"/>
    <w:rsid w:val="002F0D97"/>
    <w:rsid w:val="002F4226"/>
    <w:rsid w:val="003055CD"/>
    <w:rsid w:val="0030742F"/>
    <w:rsid w:val="003155BF"/>
    <w:rsid w:val="0032020B"/>
    <w:rsid w:val="00372A8C"/>
    <w:rsid w:val="003764C0"/>
    <w:rsid w:val="003C2BD9"/>
    <w:rsid w:val="003E55FF"/>
    <w:rsid w:val="00430AEC"/>
    <w:rsid w:val="004315BC"/>
    <w:rsid w:val="004316C1"/>
    <w:rsid w:val="00443DDA"/>
    <w:rsid w:val="0045152A"/>
    <w:rsid w:val="00454574"/>
    <w:rsid w:val="004801F8"/>
    <w:rsid w:val="00494C2B"/>
    <w:rsid w:val="004A5835"/>
    <w:rsid w:val="004A6A0F"/>
    <w:rsid w:val="004C1F74"/>
    <w:rsid w:val="004C76A6"/>
    <w:rsid w:val="004F5F08"/>
    <w:rsid w:val="00506CF3"/>
    <w:rsid w:val="00531A2C"/>
    <w:rsid w:val="00541066"/>
    <w:rsid w:val="00577CF2"/>
    <w:rsid w:val="005B6FFC"/>
    <w:rsid w:val="005E2C42"/>
    <w:rsid w:val="005E7CDC"/>
    <w:rsid w:val="005F4D5C"/>
    <w:rsid w:val="00622CFF"/>
    <w:rsid w:val="006330E5"/>
    <w:rsid w:val="006652D1"/>
    <w:rsid w:val="00671A0B"/>
    <w:rsid w:val="006748BE"/>
    <w:rsid w:val="006C1069"/>
    <w:rsid w:val="006D3D93"/>
    <w:rsid w:val="006E511B"/>
    <w:rsid w:val="00714AC1"/>
    <w:rsid w:val="00715911"/>
    <w:rsid w:val="007345C6"/>
    <w:rsid w:val="00735C73"/>
    <w:rsid w:val="00744CD6"/>
    <w:rsid w:val="007747A6"/>
    <w:rsid w:val="00781B88"/>
    <w:rsid w:val="00790C10"/>
    <w:rsid w:val="007C2CA7"/>
    <w:rsid w:val="007F22C0"/>
    <w:rsid w:val="00811191"/>
    <w:rsid w:val="00813959"/>
    <w:rsid w:val="008225A8"/>
    <w:rsid w:val="00841932"/>
    <w:rsid w:val="00842B16"/>
    <w:rsid w:val="008607BC"/>
    <w:rsid w:val="0086106A"/>
    <w:rsid w:val="008C283D"/>
    <w:rsid w:val="008D0E3E"/>
    <w:rsid w:val="008E5B82"/>
    <w:rsid w:val="008F7367"/>
    <w:rsid w:val="00923217"/>
    <w:rsid w:val="00950E30"/>
    <w:rsid w:val="00961B29"/>
    <w:rsid w:val="009925E8"/>
    <w:rsid w:val="0099316C"/>
    <w:rsid w:val="0099476C"/>
    <w:rsid w:val="009D445C"/>
    <w:rsid w:val="009E7C7B"/>
    <w:rsid w:val="00A27E60"/>
    <w:rsid w:val="00A3140D"/>
    <w:rsid w:val="00A47051"/>
    <w:rsid w:val="00A63E8C"/>
    <w:rsid w:val="00A65C2F"/>
    <w:rsid w:val="00A70C9E"/>
    <w:rsid w:val="00A76771"/>
    <w:rsid w:val="00A8106B"/>
    <w:rsid w:val="00A9095D"/>
    <w:rsid w:val="00A925CD"/>
    <w:rsid w:val="00A941D4"/>
    <w:rsid w:val="00AB0E1D"/>
    <w:rsid w:val="00AC3C58"/>
    <w:rsid w:val="00AD2551"/>
    <w:rsid w:val="00AE6141"/>
    <w:rsid w:val="00B00270"/>
    <w:rsid w:val="00B06030"/>
    <w:rsid w:val="00B11D59"/>
    <w:rsid w:val="00B24272"/>
    <w:rsid w:val="00B3547C"/>
    <w:rsid w:val="00B55355"/>
    <w:rsid w:val="00B5602F"/>
    <w:rsid w:val="00B63EA9"/>
    <w:rsid w:val="00B76DC7"/>
    <w:rsid w:val="00B86F34"/>
    <w:rsid w:val="00B954A2"/>
    <w:rsid w:val="00B95CDC"/>
    <w:rsid w:val="00B963A8"/>
    <w:rsid w:val="00BA5DE6"/>
    <w:rsid w:val="00BA619A"/>
    <w:rsid w:val="00C05AE2"/>
    <w:rsid w:val="00C15F6D"/>
    <w:rsid w:val="00C22112"/>
    <w:rsid w:val="00C46516"/>
    <w:rsid w:val="00C50111"/>
    <w:rsid w:val="00C55E68"/>
    <w:rsid w:val="00C57336"/>
    <w:rsid w:val="00C931CB"/>
    <w:rsid w:val="00CA4E20"/>
    <w:rsid w:val="00CA7941"/>
    <w:rsid w:val="00CB1501"/>
    <w:rsid w:val="00CD616A"/>
    <w:rsid w:val="00CD7EB4"/>
    <w:rsid w:val="00CE5170"/>
    <w:rsid w:val="00CE7EFE"/>
    <w:rsid w:val="00D0148B"/>
    <w:rsid w:val="00D01F84"/>
    <w:rsid w:val="00D3118A"/>
    <w:rsid w:val="00D316BC"/>
    <w:rsid w:val="00D378C3"/>
    <w:rsid w:val="00D416AF"/>
    <w:rsid w:val="00D44818"/>
    <w:rsid w:val="00D60B05"/>
    <w:rsid w:val="00D639B9"/>
    <w:rsid w:val="00D75437"/>
    <w:rsid w:val="00D84939"/>
    <w:rsid w:val="00D85975"/>
    <w:rsid w:val="00D903BB"/>
    <w:rsid w:val="00E13CC1"/>
    <w:rsid w:val="00E20C40"/>
    <w:rsid w:val="00E35177"/>
    <w:rsid w:val="00E76E26"/>
    <w:rsid w:val="00E94478"/>
    <w:rsid w:val="00E95B7C"/>
    <w:rsid w:val="00ED5776"/>
    <w:rsid w:val="00EE00BD"/>
    <w:rsid w:val="00EE1E13"/>
    <w:rsid w:val="00EE70DA"/>
    <w:rsid w:val="00EF1F10"/>
    <w:rsid w:val="00F103EE"/>
    <w:rsid w:val="00F244C0"/>
    <w:rsid w:val="00F41F6C"/>
    <w:rsid w:val="00F45CBC"/>
    <w:rsid w:val="00F941E9"/>
    <w:rsid w:val="00FA6F86"/>
    <w:rsid w:val="00FB3054"/>
    <w:rsid w:val="00FC1B80"/>
    <w:rsid w:val="00FC5F1F"/>
    <w:rsid w:val="00FE3244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E60"/>
    <w:rPr>
      <w:sz w:val="24"/>
      <w:szCs w:val="24"/>
    </w:rPr>
  </w:style>
  <w:style w:type="paragraph" w:styleId="Nadpis1">
    <w:name w:val="heading 1"/>
    <w:basedOn w:val="Normln"/>
    <w:next w:val="Normln"/>
    <w:qFormat/>
    <w:rsid w:val="00A27E60"/>
    <w:pPr>
      <w:keepNext/>
      <w:outlineLvl w:val="0"/>
    </w:pPr>
  </w:style>
  <w:style w:type="paragraph" w:styleId="Nadpis2">
    <w:name w:val="heading 2"/>
    <w:basedOn w:val="Normln"/>
    <w:next w:val="Normln"/>
    <w:qFormat/>
    <w:rsid w:val="00A27E60"/>
    <w:pPr>
      <w:keepNext/>
      <w:jc w:val="right"/>
      <w:outlineLvl w:val="1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27E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27E60"/>
    <w:pPr>
      <w:tabs>
        <w:tab w:val="center" w:pos="4536"/>
        <w:tab w:val="right" w:pos="9072"/>
      </w:tabs>
    </w:pPr>
  </w:style>
  <w:style w:type="character" w:styleId="Hypertextovodkaz">
    <w:name w:val="Hyperlink"/>
    <w:rsid w:val="00A27E60"/>
    <w:rPr>
      <w:color w:val="0000FF"/>
      <w:u w:val="single"/>
    </w:rPr>
  </w:style>
  <w:style w:type="paragraph" w:customStyle="1" w:styleId="Zkladntext21">
    <w:name w:val="Základní text 21"/>
    <w:basedOn w:val="Normln"/>
    <w:rsid w:val="00A27E60"/>
    <w:pPr>
      <w:tabs>
        <w:tab w:val="left" w:pos="3402"/>
        <w:tab w:val="left" w:pos="5103"/>
        <w:tab w:val="left" w:pos="8505"/>
      </w:tabs>
    </w:pPr>
    <w:rPr>
      <w:rFonts w:ascii="Arial" w:hAnsi="Arial"/>
      <w:sz w:val="22"/>
    </w:rPr>
  </w:style>
  <w:style w:type="character" w:styleId="Siln">
    <w:name w:val="Strong"/>
    <w:qFormat/>
    <w:rsid w:val="00A27E60"/>
    <w:rPr>
      <w:b/>
    </w:rPr>
  </w:style>
  <w:style w:type="paragraph" w:styleId="Textbubliny">
    <w:name w:val="Balloon Text"/>
    <w:basedOn w:val="Normln"/>
    <w:semiHidden/>
    <w:rsid w:val="00A3140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22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8340">
          <w:blockQuote w:val="1"/>
          <w:marLeft w:val="57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3871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tta@cuscz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ST\Desktop\&#268;AST_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D77AA-21B0-4C41-B523-23CFD0BB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ČAST_new</Template>
  <TotalTime>1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CAST</Company>
  <LinksUpToDate>false</LinksUpToDate>
  <CharactersWithSpaces>1903</CharactersWithSpaces>
  <SharedDoc>false</SharedDoc>
  <HLinks>
    <vt:vector size="6" baseType="variant"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Jan Poledne</dc:creator>
  <cp:lastModifiedBy>Martin</cp:lastModifiedBy>
  <cp:revision>2</cp:revision>
  <cp:lastPrinted>2012-05-02T08:05:00Z</cp:lastPrinted>
  <dcterms:created xsi:type="dcterms:W3CDTF">2015-04-26T18:18:00Z</dcterms:created>
  <dcterms:modified xsi:type="dcterms:W3CDTF">2015-04-26T18:18:00Z</dcterms:modified>
</cp:coreProperties>
</file>