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tabs>
          <w:tab w:val="left" w:pos="284"/>
        </w:tabs>
        <w:ind w:left="284" w:hanging="283"/>
        <w:contextualSpacing w:val="0"/>
        <w:jc w:val="both"/>
      </w:pPr>
      <w:r w:rsidRPr="00000000" w:rsidR="00000000" w:rsidDel="00000000">
        <w:rPr>
          <w:rtl w:val="0"/>
        </w:rPr>
      </w:r>
    </w:p>
    <w:p w:rsidP="00000000" w:rsidRPr="00000000" w:rsidR="00000000" w:rsidDel="00000000" w:rsidRDefault="00000000">
      <w:pPr>
        <w:tabs>
          <w:tab w:val="left" w:pos="284"/>
        </w:tabs>
        <w:ind w:left="284" w:hanging="283"/>
        <w:contextualSpacing w:val="0"/>
        <w:jc w:val="both"/>
      </w:pPr>
      <w:r w:rsidRPr="00000000" w:rsidR="00000000" w:rsidDel="00000000">
        <w:rPr>
          <w:rtl w:val="0"/>
        </w:rPr>
      </w:r>
    </w:p>
    <w:tbl>
      <w:tblPr>
        <w:bidiVisual w:val="0"/>
        <w:tblW w:w="8150.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6591"/>
        <w:gridCol w:w="1559"/>
        <w:gridCol w:w="772"/>
        <w:gridCol w:w="772"/>
      </w:tblGrid>
      <w:tr>
        <w:trPr>
          <w:trHeight w:val="1400" w:hRule="atLeast"/>
        </w:trPr>
        <w:tc>
          <w:tcPr>
            <w:tcMar>
              <w:top w:w="100.0" w:type="dxa"/>
              <w:left w:w="70.0" w:type="dxa"/>
              <w:bottom w:w="100.0" w:type="dxa"/>
              <w:right w:w="70.0" w:type="dxa"/>
            </w:tcMar>
          </w:tcPr>
          <w:p w:rsidP="00000000" w:rsidRPr="00000000" w:rsidR="00000000" w:rsidDel="00000000" w:rsidRDefault="00000000">
            <w:pPr>
              <w:tabs>
                <w:tab w:val="left" w:pos="1418"/>
                <w:tab w:val="left" w:pos="3261"/>
              </w:tabs>
              <w:spacing w:lineRule="auto" w:after="0" w:line="240" w:before="0"/>
              <w:contextualSpacing w:val="0"/>
              <w:jc w:val="center"/>
            </w:pPr>
            <w:r w:rsidRPr="00000000" w:rsidR="00000000" w:rsidDel="00000000">
              <w:drawing>
                <wp:inline distR="19050" distT="19050" distB="19050" distL="19050">
                  <wp:extent cy="857250" cx="590550"/>
                  <wp:docPr id="1" name="image00.png"/>
                  <a:graphic>
                    <a:graphicData uri="http://schemas.openxmlformats.org/drawingml/2006/picture">
                      <pic:pic>
                        <pic:nvPicPr>
                          <pic:cNvPr id="0" name="image00.png"/>
                          <pic:cNvPicPr preferRelativeResize="0"/>
                        </pic:nvPicPr>
                        <pic:blipFill>
                          <a:blip r:embed="rId5"/>
                          <a:stretch>
                            <a:fillRect/>
                          </a:stretch>
                        </pic:blipFill>
                        <pic:spPr>
                          <a:xfrm>
                            <a:ext cy="857250" cx="590550"/>
                          </a:xfrm>
                          <a:prstGeom prst="rect"/>
                        </pic:spPr>
                      </pic:pic>
                    </a:graphicData>
                  </a:graphic>
                </wp:inline>
              </w:drawing>
            </w:r>
            <w:r w:rsidRPr="00000000" w:rsidR="00000000" w:rsidDel="00000000">
              <w:rPr>
                <w:rtl w:val="0"/>
              </w:rPr>
            </w:r>
          </w:p>
          <w:p w:rsidP="00000000" w:rsidRPr="00000000" w:rsidR="00000000" w:rsidDel="00000000" w:rsidRDefault="00000000">
            <w:pPr>
              <w:tabs>
                <w:tab w:val="left" w:pos="1418"/>
                <w:tab w:val="left" w:pos="3261"/>
              </w:tabs>
              <w:spacing w:lineRule="auto" w:after="0" w:line="240" w:before="0"/>
              <w:contextualSpacing w:val="0"/>
              <w:jc w:val="center"/>
            </w:pPr>
            <w:r w:rsidRPr="00000000" w:rsidR="00000000" w:rsidDel="00000000">
              <w:rPr>
                <w:rtl w:val="0"/>
              </w:rPr>
            </w:r>
          </w:p>
        </w:tc>
        <w:tc>
          <w:tcPr>
            <w:tcMar>
              <w:top w:w="100.0" w:type="dxa"/>
              <w:left w:w="70.0" w:type="dxa"/>
              <w:bottom w:w="100.0" w:type="dxa"/>
              <w:right w:w="70.0" w:type="dxa"/>
            </w:tcMar>
          </w:tcPr>
          <w:p w:rsidP="00000000" w:rsidRPr="00000000" w:rsidR="00000000" w:rsidDel="00000000" w:rsidRDefault="00000000">
            <w:pPr>
              <w:spacing w:lineRule="auto" w:after="200" w:line="276" w:before="0"/>
              <w:ind w:left="0" w:firstLine="0" w:right="0"/>
              <w:contextualSpacing w:val="0"/>
              <w:jc w:val="left"/>
            </w:pPr>
            <w:r w:rsidRPr="00000000" w:rsidR="00000000" w:rsidDel="00000000">
              <w:rPr>
                <w:rtl w:val="0"/>
              </w:rPr>
            </w:r>
          </w:p>
        </w:tc>
      </w:tr>
      <w:tr>
        <w:trPr>
          <w:trHeight w:val="1540" w:hRule="atLeast"/>
        </w:trPr>
        <w:tc>
          <w:tcPr>
            <w:tcMar>
              <w:top w:w="100.0" w:type="dxa"/>
              <w:left w:w="70.0" w:type="dxa"/>
              <w:bottom w:w="100.0" w:type="dxa"/>
              <w:right w:w="70.0" w:type="dxa"/>
            </w:tcMar>
          </w:tcPr>
          <w:p w:rsidP="00000000" w:rsidRPr="00000000" w:rsidR="00000000" w:rsidDel="00000000" w:rsidRDefault="00000000">
            <w:pPr>
              <w:tabs>
                <w:tab w:val="left" w:pos="-708"/>
                <w:tab w:val="left" w:pos="6451"/>
              </w:tabs>
              <w:spacing w:lineRule="auto" w:after="0" w:line="240" w:before="0"/>
              <w:ind w:left="-708" w:right="-69" w:hanging="1417"/>
              <w:contextualSpacing w:val="0"/>
              <w:jc w:val="center"/>
            </w:pPr>
            <w:r w:rsidRPr="00000000" w:rsidR="00000000" w:rsidDel="00000000">
              <w:rPr>
                <w:rtl w:val="0"/>
              </w:rPr>
            </w:r>
          </w:p>
          <w:p w:rsidP="00000000" w:rsidRPr="00000000" w:rsidR="00000000" w:rsidDel="00000000" w:rsidRDefault="00000000">
            <w:pPr>
              <w:tabs>
                <w:tab w:val="left" w:pos="-69"/>
                <w:tab w:val="left" w:pos="6451"/>
              </w:tabs>
              <w:spacing w:lineRule="auto" w:after="0" w:line="240" w:before="0"/>
              <w:ind w:left="-69" w:firstLine="0" w:right="-69"/>
              <w:contextualSpacing w:val="0"/>
              <w:jc w:val="center"/>
            </w:pPr>
            <w:r w:rsidRPr="00000000" w:rsidR="00000000" w:rsidDel="00000000">
              <w:rPr>
                <w:rFonts w:cs="Arial" w:hAnsi="Arial" w:eastAsia="Arial" w:ascii="Arial"/>
                <w:b w:val="1"/>
                <w:color w:val="000000"/>
                <w:sz w:val="28"/>
                <w:u w:val="single"/>
                <w:rtl w:val="0"/>
              </w:rPr>
              <w:t xml:space="preserve">Regionální svaz stolního tenisu Náchod</w:t>
            </w:r>
            <w:r w:rsidRPr="00000000" w:rsidR="00000000" w:rsidDel="00000000">
              <w:rPr>
                <w:rtl w:val="0"/>
              </w:rPr>
            </w:r>
          </w:p>
          <w:p w:rsidP="00000000" w:rsidRPr="00000000" w:rsidR="00000000" w:rsidDel="00000000" w:rsidRDefault="00000000">
            <w:pPr>
              <w:tabs>
                <w:tab w:val="left" w:pos="-69"/>
                <w:tab w:val="left" w:pos="6451"/>
              </w:tabs>
              <w:spacing w:lineRule="auto" w:after="0" w:line="240" w:before="0"/>
              <w:ind w:left="-15" w:firstLine="583" w:right="-69"/>
              <w:contextualSpacing w:val="0"/>
              <w:jc w:val="center"/>
            </w:pPr>
            <w:r w:rsidRPr="00000000" w:rsidR="00000000" w:rsidDel="00000000">
              <w:rPr>
                <w:rtl w:val="0"/>
              </w:rPr>
            </w:r>
          </w:p>
          <w:p w:rsidP="00000000" w:rsidRPr="00000000" w:rsidR="00000000" w:rsidDel="00000000" w:rsidRDefault="00000000">
            <w:pPr>
              <w:tabs>
                <w:tab w:val="left" w:pos="-69"/>
                <w:tab w:val="left" w:pos="6451"/>
              </w:tabs>
              <w:spacing w:lineRule="auto" w:after="0" w:line="240" w:before="0"/>
              <w:ind w:left="-15" w:firstLine="583" w:right="-69"/>
              <w:contextualSpacing w:val="0"/>
              <w:jc w:val="both"/>
            </w:pPr>
            <w:r w:rsidRPr="00000000" w:rsidR="00000000" w:rsidDel="00000000">
              <w:rPr>
                <w:rFonts w:cs="Arial" w:hAnsi="Arial" w:eastAsia="Arial" w:ascii="Arial"/>
                <w:b w:val="1"/>
                <w:color w:val="000000"/>
                <w:sz w:val="32"/>
                <w:rtl w:val="0"/>
              </w:rPr>
              <w:t xml:space="preserve">    </w:t>
            </w:r>
            <w:r w:rsidRPr="00000000" w:rsidR="00000000" w:rsidDel="00000000">
              <w:rPr>
                <w:rFonts w:cs="Arial" w:hAnsi="Arial" w:eastAsia="Arial" w:ascii="Arial"/>
                <w:b w:val="1"/>
                <w:color w:val="000000"/>
                <w:sz w:val="32"/>
                <w:u w:val="single"/>
                <w:rtl w:val="0"/>
              </w:rPr>
              <w:t xml:space="preserve">INFOSERVIS  2013 / 2014 č. 8</w:t>
            </w:r>
            <w:r w:rsidRPr="00000000" w:rsidR="00000000" w:rsidDel="00000000">
              <w:rPr>
                <w:rtl w:val="0"/>
              </w:rPr>
            </w:r>
          </w:p>
        </w:tc>
        <w:tc>
          <w:tcPr>
            <w:tcMar>
              <w:top w:w="100.0" w:type="dxa"/>
              <w:left w:w="70.0" w:type="dxa"/>
              <w:bottom w:w="100.0" w:type="dxa"/>
              <w:right w:w="70.0" w:type="dxa"/>
            </w:tcMar>
          </w:tcPr>
          <w:p w:rsidP="00000000" w:rsidRPr="00000000" w:rsidR="00000000" w:rsidDel="00000000" w:rsidRDefault="00000000">
            <w:pPr>
              <w:tabs>
                <w:tab w:val="left" w:pos="1418"/>
                <w:tab w:val="left" w:pos="3261"/>
              </w:tabs>
              <w:spacing w:lineRule="auto" w:after="0" w:line="240" w:before="0"/>
              <w:contextualSpacing w:val="0"/>
              <w:jc w:val="center"/>
            </w:pPr>
            <w:r w:rsidRPr="00000000" w:rsidR="00000000" w:rsidDel="00000000">
              <w:rPr>
                <w:rtl w:val="0"/>
              </w:rPr>
            </w:r>
          </w:p>
          <w:p w:rsidP="00000000" w:rsidRPr="00000000" w:rsidR="00000000" w:rsidDel="00000000" w:rsidRDefault="00000000">
            <w:pPr>
              <w:tabs>
                <w:tab w:val="left" w:pos="1418"/>
                <w:tab w:val="left" w:pos="3261"/>
              </w:tabs>
              <w:spacing w:lineRule="auto" w:after="0" w:line="240" w:before="0"/>
              <w:contextualSpacing w:val="0"/>
              <w:jc w:val="center"/>
            </w:pPr>
            <w:r w:rsidRPr="00000000" w:rsidR="00000000" w:rsidDel="00000000">
              <w:rPr>
                <w:rtl w:val="0"/>
              </w:rPr>
            </w:r>
          </w:p>
          <w:p w:rsidP="00000000" w:rsidRPr="00000000" w:rsidR="00000000" w:rsidDel="00000000" w:rsidRDefault="00000000">
            <w:pPr>
              <w:tabs>
                <w:tab w:val="left" w:pos="1418"/>
                <w:tab w:val="left" w:pos="3261"/>
              </w:tabs>
              <w:spacing w:lineRule="auto" w:after="0" w:line="240" w:before="0"/>
              <w:contextualSpacing w:val="0"/>
              <w:jc w:val="center"/>
            </w:pPr>
            <w:r w:rsidRPr="00000000" w:rsidR="00000000" w:rsidDel="00000000">
              <w:rPr>
                <w:rtl w:val="0"/>
              </w:rPr>
            </w:r>
          </w:p>
          <w:p w:rsidP="00000000" w:rsidRPr="00000000" w:rsidR="00000000" w:rsidDel="00000000" w:rsidRDefault="00000000">
            <w:pPr>
              <w:tabs>
                <w:tab w:val="left" w:pos="1418"/>
                <w:tab w:val="left" w:pos="3261"/>
              </w:tabs>
              <w:spacing w:lineRule="auto" w:after="0" w:line="240" w:before="0"/>
              <w:contextualSpacing w:val="0"/>
              <w:jc w:val="center"/>
            </w:pPr>
            <w:r w:rsidRPr="00000000" w:rsidR="00000000" w:rsidDel="00000000">
              <w:rPr>
                <w:rFonts w:cs="Arial" w:hAnsi="Arial" w:eastAsia="Arial" w:ascii="Arial"/>
                <w:sz w:val="20"/>
                <w:rtl w:val="0"/>
              </w:rPr>
              <w:t xml:space="preserve">3. 10. 2013 </w:t>
            </w:r>
            <w:r w:rsidRPr="00000000" w:rsidR="00000000" w:rsidDel="00000000">
              <w:rPr>
                <w:rtl w:val="0"/>
              </w:rPr>
            </w:r>
          </w:p>
        </w:tc>
      </w:tr>
    </w:tbl>
    <w:p w:rsidP="00000000" w:rsidRPr="00000000" w:rsidR="00000000" w:rsidDel="00000000" w:rsidRDefault="00000000">
      <w:pPr>
        <w:ind w:left="284" w:hanging="283"/>
        <w:contextualSpacing w:val="0"/>
        <w:jc w:val="both"/>
      </w:pP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 xml:space="preserve">1.</w:t>
        <w:tab/>
        <w:t xml:space="preserve">Průběžný stav VŘ na pořadatelství RPJ</w:t>
      </w: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ab/>
        <w:tab/>
      </w:r>
      <w:r w:rsidRPr="00000000" w:rsidR="00000000" w:rsidDel="00000000">
        <w:rPr>
          <w:sz w:val="24"/>
          <w:rtl w:val="0"/>
        </w:rPr>
        <w:t xml:space="preserve">Do výběrového řízení na pořádání RPJ jednotlivců dospělých a mládeže s termínem konání 26. nebo 27. 10. 2013 se do dnešního dne nikdo nepřihlásil. Výběrové řízení na pořadatelství přeborů v prosincových a lednových termínech probíhá dál.</w:t>
      </w:r>
    </w:p>
    <w:p w:rsidP="00000000" w:rsidRPr="00000000" w:rsidR="00000000" w:rsidDel="00000000" w:rsidRDefault="00000000">
      <w:pPr>
        <w:ind w:left="284" w:hanging="283"/>
        <w:contextualSpacing w:val="0"/>
        <w:jc w:val="both"/>
      </w:pP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 xml:space="preserve">2. Schválené přestupy</w:t>
      </w: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sz w:val="24"/>
          <w:rtl w:val="0"/>
        </w:rPr>
        <w:tab/>
        <w:tab/>
        <w:t xml:space="preserve">V období od 16. 9. 2013 do 2. 10. 2013 byly schváleny tyto přestupy, který se týkají oddílů našeho regionu:</w:t>
      </w:r>
    </w:p>
    <w:p w:rsidP="00000000" w:rsidRPr="00000000" w:rsidR="00000000" w:rsidDel="00000000" w:rsidRDefault="00000000">
      <w:pPr>
        <w:ind w:left="284" w:hanging="283"/>
        <w:contextualSpacing w:val="0"/>
        <w:jc w:val="both"/>
      </w:pPr>
      <w:r w:rsidRPr="00000000" w:rsidR="00000000" w:rsidDel="00000000">
        <w:rPr>
          <w:sz w:val="24"/>
          <w:rtl w:val="0"/>
        </w:rPr>
        <w:tab/>
      </w:r>
      <w:r w:rsidRPr="00000000" w:rsidR="00000000" w:rsidDel="00000000">
        <w:rPr>
          <w:i w:val="1"/>
          <w:sz w:val="24"/>
          <w:rtl w:val="0"/>
        </w:rPr>
        <w:t xml:space="preserve">Jméno hráče, rok narození</w:t>
      </w:r>
      <w:r w:rsidRPr="00000000" w:rsidR="00000000" w:rsidDel="00000000">
        <w:rPr>
          <w:sz w:val="24"/>
          <w:rtl w:val="0"/>
        </w:rPr>
        <w:t xml:space="preserve"> </w:t>
      </w:r>
      <w:r w:rsidRPr="00000000" w:rsidR="00000000" w:rsidDel="00000000">
        <w:rPr>
          <w:i w:val="1"/>
          <w:sz w:val="24"/>
          <w:rtl w:val="0"/>
        </w:rPr>
        <w:tab/>
        <w:t xml:space="preserve">z oddílu</w:t>
        <w:tab/>
        <w:tab/>
        <w:tab/>
        <w:tab/>
        <w:t xml:space="preserve">do oddílu</w:t>
      </w: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sz w:val="24"/>
          <w:rtl w:val="0"/>
        </w:rPr>
        <w:tab/>
        <w:t xml:space="preserve">Jakl Pavel (1978)</w:t>
        <w:tab/>
        <w:tab/>
        <w:tab/>
        <w:t xml:space="preserve">Sokol Slavětín</w:t>
        <w:tab/>
        <w:tab/>
        <w:tab/>
        <w:tab/>
        <w:t xml:space="preserve">Orel Bohuslavice</w:t>
      </w:r>
    </w:p>
    <w:p w:rsidP="00000000" w:rsidRPr="00000000" w:rsidR="00000000" w:rsidDel="00000000" w:rsidRDefault="00000000">
      <w:pPr>
        <w:ind w:left="284" w:hanging="283"/>
        <w:contextualSpacing w:val="0"/>
        <w:jc w:val="both"/>
      </w:pPr>
      <w:r w:rsidRPr="00000000" w:rsidR="00000000" w:rsidDel="00000000">
        <w:rPr>
          <w:sz w:val="24"/>
          <w:rtl w:val="0"/>
        </w:rPr>
        <w:tab/>
        <w:t xml:space="preserve">Krupička Vladimír</w:t>
        <w:tab/>
        <w:t xml:space="preserve">(1961)</w:t>
        <w:tab/>
        <w:tab/>
        <w:t xml:space="preserve">TTC Nové Město n. Met.</w:t>
        <w:tab/>
        <w:tab/>
        <w:t xml:space="preserve">Orel Bohuslavice</w:t>
      </w:r>
    </w:p>
    <w:p w:rsidP="00000000" w:rsidRPr="00000000" w:rsidR="00000000" w:rsidDel="00000000" w:rsidRDefault="00000000">
      <w:pPr>
        <w:ind w:left="284" w:hanging="283"/>
        <w:contextualSpacing w:val="0"/>
        <w:jc w:val="both"/>
      </w:pPr>
      <w:r w:rsidRPr="00000000" w:rsidR="00000000" w:rsidDel="00000000">
        <w:rPr>
          <w:sz w:val="24"/>
          <w:rtl w:val="0"/>
        </w:rPr>
        <w:tab/>
        <w:t xml:space="preserve">Szczepaniak Tomasz (2001)</w:t>
        <w:tab/>
        <w:t xml:space="preserve">zahraničí</w:t>
        <w:tab/>
        <w:tab/>
        <w:tab/>
        <w:tab/>
        <w:t xml:space="preserve">Lokomotiva Meziměstí</w:t>
      </w:r>
    </w:p>
    <w:p w:rsidP="00000000" w:rsidRPr="00000000" w:rsidR="00000000" w:rsidDel="00000000" w:rsidRDefault="00000000">
      <w:pPr>
        <w:ind w:left="284" w:hanging="283"/>
        <w:contextualSpacing w:val="0"/>
        <w:jc w:val="both"/>
      </w:pPr>
      <w:r w:rsidRPr="00000000" w:rsidR="00000000" w:rsidDel="00000000">
        <w:rPr>
          <w:sz w:val="24"/>
          <w:rtl w:val="0"/>
        </w:rPr>
        <w:tab/>
        <w:t xml:space="preserve">Sobotka Tomáš (1975)</w:t>
        <w:tab/>
        <w:tab/>
        <w:t xml:space="preserve">Knauf Team Lipí</w:t>
        <w:tab/>
        <w:tab/>
        <w:tab/>
        <w:t xml:space="preserve">Sokol Vysoká Srbská</w:t>
      </w:r>
    </w:p>
    <w:p w:rsidP="00000000" w:rsidRPr="00000000" w:rsidR="00000000" w:rsidDel="00000000" w:rsidRDefault="00000000">
      <w:pPr>
        <w:ind w:left="284" w:hanging="283"/>
        <w:contextualSpacing w:val="0"/>
        <w:jc w:val="both"/>
      </w:pP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 xml:space="preserve">3.</w:t>
        <w:tab/>
        <w:t xml:space="preserve">Dodatečné zařazení do RŽ mužů</w:t>
      </w: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ab/>
        <w:tab/>
      </w:r>
      <w:r w:rsidRPr="00000000" w:rsidR="00000000" w:rsidDel="00000000">
        <w:rPr>
          <w:sz w:val="24"/>
          <w:rtl w:val="0"/>
        </w:rPr>
        <w:t xml:space="preserve">Na žádost oddílu byli dodatečně zařazeni do RŽ mužů hráči:</w:t>
      </w:r>
    </w:p>
    <w:p w:rsidP="00000000" w:rsidRPr="00000000" w:rsidR="00000000" w:rsidDel="00000000" w:rsidRDefault="00000000">
      <w:pPr>
        <w:ind w:left="284" w:hanging="283"/>
        <w:contextualSpacing w:val="0"/>
        <w:jc w:val="both"/>
      </w:pPr>
      <w:r w:rsidRPr="00000000" w:rsidR="00000000" w:rsidDel="00000000">
        <w:rPr>
          <w:sz w:val="24"/>
          <w:rtl w:val="0"/>
        </w:rPr>
        <w:tab/>
        <w:t xml:space="preserve">Meduna Daniel</w:t>
        <w:tab/>
        <w:t xml:space="preserve">TTC Nové Město n. Met.</w:t>
        <w:tab/>
        <w:t xml:space="preserve">jako N 140.</w:t>
        <w:tab/>
        <w:t xml:space="preserve">nehrál 1 sezonu, v sezoně 2011 – </w:t>
        <w:tab/>
        <w:tab/>
        <w:tab/>
        <w:tab/>
        <w:tab/>
        <w:tab/>
        <w:tab/>
        <w:tab/>
        <w:tab/>
        <w:t xml:space="preserve">2012 zařazen na 101. – 120. místě</w:t>
      </w:r>
    </w:p>
    <w:p w:rsidP="00000000" w:rsidRPr="00000000" w:rsidR="00000000" w:rsidDel="00000000" w:rsidRDefault="00000000">
      <w:pPr>
        <w:ind w:left="284" w:hanging="283"/>
        <w:contextualSpacing w:val="0"/>
      </w:pPr>
      <w:r w:rsidRPr="00000000" w:rsidR="00000000" w:rsidDel="00000000">
        <w:rPr>
          <w:b w:val="1"/>
          <w:sz w:val="24"/>
          <w:rtl w:val="0"/>
        </w:rPr>
        <w:t xml:space="preserve">4.</w:t>
        <w:tab/>
        <w:t xml:space="preserve">Regionální přebor družstev dorostu</w:t>
      </w:r>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ind w:left="284" w:hanging="283"/>
        <w:contextualSpacing w:val="0"/>
        <w:jc w:val="both"/>
      </w:pPr>
      <w:r w:rsidRPr="00000000" w:rsidR="00000000" w:rsidDel="00000000">
        <w:rPr>
          <w:rFonts w:cs="Arial" w:hAnsi="Arial" w:eastAsia="Arial" w:ascii="Arial"/>
          <w:sz w:val="24"/>
          <w:rtl w:val="0"/>
        </w:rPr>
        <w:tab/>
        <w:t xml:space="preserve">   </w:t>
        <w:tab/>
      </w:r>
      <w:r w:rsidRPr="00000000" w:rsidR="00000000" w:rsidDel="00000000">
        <w:rPr>
          <w:rFonts w:cs="Times New Roman" w:hAnsi="Times New Roman" w:eastAsia="Times New Roman" w:ascii="Times New Roman"/>
          <w:sz w:val="24"/>
          <w:rtl w:val="0"/>
        </w:rPr>
        <w:t xml:space="preserve">Soutěž RPd je rozlosovaná, zveřejněná na STIS, vedoucí družstev žádáme o kontrolu. Pokud zjistíte nějakou nesrovnalost, bezprostředně informujte vedoucího STK Jaromíra Koukolu na adrese koukolaj@gmail.com.</w:t>
      </w: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 xml:space="preserve">5.</w:t>
        <w:tab/>
        <w:t xml:space="preserve">Informace pro oddíly</w:t>
      </w: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ab/>
        <w:tab/>
      </w:r>
      <w:r w:rsidRPr="00000000" w:rsidR="00000000" w:rsidDel="00000000">
        <w:rPr>
          <w:sz w:val="24"/>
          <w:rtl w:val="0"/>
        </w:rPr>
        <w:t xml:space="preserve">Pokud máte zájem o samopropisovací bloky zápisů o utkání, můžete si je osobně vyzvednout na KHKSST (v ceně 80 Kč za kus) nebo se dohodnout se sekretářem Ladislavem Kozákem, aby vám je někde příležitostně předal. Nebo si můžete bloky objednat na ČAST, odkud je rozesílají s fakturou za cenu 75 Kč za kus + balné a poštovné, což vás vyjde o něco dráž.</w:t>
      </w:r>
    </w:p>
    <w:p w:rsidP="00000000" w:rsidRPr="00000000" w:rsidR="00000000" w:rsidDel="00000000" w:rsidRDefault="00000000">
      <w:pPr>
        <w:ind w:left="284" w:hanging="283"/>
        <w:contextualSpacing w:val="0"/>
        <w:jc w:val="both"/>
      </w:pPr>
      <w:r w:rsidRPr="00000000" w:rsidR="00000000" w:rsidDel="00000000">
        <w:rPr>
          <w:sz w:val="24"/>
          <w:rtl w:val="0"/>
        </w:rPr>
        <w:tab/>
        <w:tab/>
        <w:t xml:space="preserve">Některé oddíly si formuláře stahují z webových stránek a sami tisknou. To vyjde samozřejmě nejlevněji, ovšem takovéto formuláře pochopitelně nejsou průpisové a je proto nutné používat nepříliš komfortní a už archaické kopírovací papíry.</w:t>
      </w:r>
    </w:p>
    <w:p w:rsidP="00000000" w:rsidRPr="00000000" w:rsidR="00000000" w:rsidDel="00000000" w:rsidRDefault="00000000">
      <w:pPr>
        <w:ind w:left="284" w:hanging="283"/>
        <w:contextualSpacing w:val="0"/>
        <w:jc w:val="both"/>
      </w:pP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 xml:space="preserve">6.</w:t>
        <w:tab/>
        <w:t xml:space="preserve">Informace ČAST</w:t>
      </w: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ab/>
        <w:tab/>
      </w:r>
      <w:r w:rsidRPr="00000000" w:rsidR="00000000" w:rsidDel="00000000">
        <w:rPr>
          <w:sz w:val="24"/>
          <w:rtl w:val="0"/>
        </w:rPr>
        <w:t xml:space="preserve">Pro funkcionáře přeposílám zprávu ČAST s přílohami, kterou obdržela od ČOV jako informace k novelizovanému Občanskému zákoníku v tomto znění:</w:t>
      </w:r>
    </w:p>
    <w:p w:rsidP="00000000" w:rsidRPr="00000000" w:rsidR="00000000" w:rsidDel="00000000" w:rsidRDefault="00000000">
      <w:pPr>
        <w:ind w:left="284" w:hanging="283"/>
        <w:contextualSpacing w:val="0"/>
        <w:jc w:val="both"/>
      </w:pPr>
      <w:r w:rsidRPr="00000000" w:rsidR="00000000" w:rsidDel="00000000">
        <w:rPr>
          <w:i w:val="1"/>
          <w:sz w:val="24"/>
          <w:rtl w:val="0"/>
        </w:rPr>
        <w:tab/>
        <w:tab/>
        <w:t xml:space="preserve">Vážení sportovní přátelé,</w:t>
      </w: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i w:val="1"/>
          <w:sz w:val="24"/>
          <w:rtl w:val="0"/>
        </w:rPr>
        <w:tab/>
        <w:tab/>
        <w:t xml:space="preserve">od 1. 1. 2014 vejde v platnost novelizovaný Občanský zákoník. V návaznosti na tyto změny si vám dovolujeme zaslat materiál z dílny Legislativní rady ČOV, který vám pomůže zorientovat se v oblastech týkajících se občanských sdružení ve sportovním prostředí. Věříme, že využijete také možnost klást dotazy k této problematice přímo Legislativní radě ČOV, a to prostřednictvím online formuláře na webu ČOV. Odkaz viz na adrese </w:t>
      </w:r>
      <w:hyperlink r:id="rId6">
        <w:r w:rsidRPr="00000000" w:rsidR="00000000" w:rsidDel="00000000">
          <w:rPr>
            <w:i w:val="1"/>
            <w:color w:val="0000ff"/>
            <w:sz w:val="24"/>
            <w:u w:val="single"/>
            <w:rtl w:val="0"/>
          </w:rPr>
          <w:t xml:space="preserve">www.olympic.cz/pravniporadna</w:t>
        </w:r>
      </w:hyperlink>
      <w:r w:rsidRPr="00000000" w:rsidR="00000000" w:rsidDel="00000000">
        <w:rPr>
          <w:i w:val="1"/>
          <w:sz w:val="24"/>
          <w:rtl w:val="0"/>
        </w:rPr>
        <w:t xml:space="preserve">. </w:t>
      </w: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i w:val="1"/>
          <w:sz w:val="24"/>
          <w:rtl w:val="0"/>
        </w:rPr>
        <w:tab/>
        <w:tab/>
        <w:t xml:space="preserve">Prosíme o distribuci těchto materiálů také uvnitř vašich sportovních organizací.</w:t>
      </w:r>
      <w:r w:rsidRPr="00000000" w:rsidR="00000000" w:rsidDel="00000000">
        <w:rPr>
          <w:rtl w:val="0"/>
        </w:rPr>
      </w:r>
    </w:p>
    <w:p w:rsidP="00000000" w:rsidRPr="00000000" w:rsidR="00000000" w:rsidDel="00000000" w:rsidRDefault="00000000">
      <w:pPr>
        <w:ind w:left="284" w:hanging="283"/>
        <w:contextualSpacing w:val="0"/>
      </w:pPr>
      <w:r w:rsidRPr="00000000" w:rsidR="00000000" w:rsidDel="00000000">
        <w:rPr>
          <w:i w:val="1"/>
          <w:sz w:val="24"/>
          <w:rtl w:val="0"/>
        </w:rPr>
        <w:tab/>
        <w:t xml:space="preserve">Děkujeme za spolupráci.</w:t>
      </w:r>
      <w:r w:rsidRPr="00000000" w:rsidR="00000000" w:rsidDel="00000000">
        <w:rPr>
          <w:rtl w:val="0"/>
        </w:rPr>
      </w:r>
    </w:p>
    <w:p w:rsidP="00000000" w:rsidRPr="00000000" w:rsidR="00000000" w:rsidDel="00000000" w:rsidRDefault="00000000">
      <w:pPr>
        <w:ind w:left="284" w:hanging="283"/>
        <w:contextualSpacing w:val="0"/>
      </w:pPr>
      <w:r w:rsidRPr="00000000" w:rsidR="00000000" w:rsidDel="00000000">
        <w:rPr>
          <w:i w:val="1"/>
          <w:sz w:val="24"/>
          <w:rtl w:val="0"/>
        </w:rPr>
        <w:tab/>
        <w:tab/>
        <w:t xml:space="preserve">S pozdravem </w:t>
      </w:r>
      <w:r w:rsidRPr="00000000" w:rsidR="00000000" w:rsidDel="00000000">
        <w:rPr>
          <w:b w:val="1"/>
          <w:i w:val="1"/>
          <w:color w:val="000000"/>
          <w:sz w:val="24"/>
          <w:rtl w:val="0"/>
        </w:rPr>
        <w:t xml:space="preserve">Petr Graclík</w:t>
      </w:r>
      <w:r w:rsidRPr="00000000" w:rsidR="00000000" w:rsidDel="00000000">
        <w:rPr>
          <w:i w:val="1"/>
          <w:color w:val="000000"/>
          <w:sz w:val="24"/>
          <w:rtl w:val="0"/>
        </w:rPr>
        <w:t xml:space="preserve">, generální sekretář / Secretary General</w:t>
      </w: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 xml:space="preserve">7.</w:t>
        <w:tab/>
        <w:t xml:space="preserve">Plán hospodaření RSST na rok 2014</w:t>
      </w: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ab/>
        <w:tab/>
      </w:r>
      <w:r w:rsidRPr="00000000" w:rsidR="00000000" w:rsidDel="00000000">
        <w:rPr>
          <w:sz w:val="24"/>
          <w:rtl w:val="0"/>
        </w:rPr>
        <w:t xml:space="preserve">Na jednání regionální konference v Náchodě dne 2. 9. 2013 nebyl předložen a schválen rozpočet na 2. polovinu letošního roku a na rok 2014. Po dokončení plateb vkladů do soutěží a převodu reálného zůstatku na starém účtu na účet nový tento rozpočet sestavil hospodář RSST Jaromír Koukola a odsouhlasil VV.</w:t>
      </w:r>
    </w:p>
    <w:p w:rsidP="00000000" w:rsidRPr="00000000" w:rsidR="00000000" w:rsidDel="00000000" w:rsidRDefault="00000000">
      <w:pPr>
        <w:ind w:left="284" w:hanging="283"/>
        <w:contextualSpacing w:val="0"/>
        <w:jc w:val="both"/>
      </w:pPr>
      <w:r w:rsidRPr="00000000" w:rsidR="00000000" w:rsidDel="00000000">
        <w:rPr>
          <w:sz w:val="24"/>
          <w:rtl w:val="0"/>
        </w:rPr>
        <w:tab/>
        <w:tab/>
        <w:t xml:space="preserve">Rozpočet byl dnes odeslán do oddílů na adresu jednotlivých organizačních pracovníků. Pokud vás to zajímá a chcete být o hospodaření RSST informování, vyžádejte si tento materiál u něho.</w:t>
      </w:r>
    </w:p>
    <w:p w:rsidP="00000000" w:rsidRPr="00000000" w:rsidR="00000000" w:rsidDel="00000000" w:rsidRDefault="00000000">
      <w:pPr>
        <w:ind w:left="284" w:hanging="283"/>
        <w:contextualSpacing w:val="0"/>
        <w:jc w:val="both"/>
      </w:pP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 xml:space="preserve">8. Pozvánka na 2. VčBTM mladšího žactva v Broumově</w:t>
      </w:r>
      <w:r w:rsidRPr="00000000" w:rsidR="00000000" w:rsidDel="00000000">
        <w:rPr>
          <w:rtl w:val="0"/>
        </w:rPr>
      </w:r>
    </w:p>
    <w:p w:rsidP="00000000" w:rsidRPr="00000000" w:rsidR="00000000" w:rsidDel="00000000" w:rsidRDefault="00000000">
      <w:pPr>
        <w:ind w:left="284" w:hanging="283"/>
        <w:contextualSpacing w:val="0"/>
        <w:jc w:val="both"/>
      </w:pPr>
      <w:bookmarkStart w:id="0" w:colFirst="0" w:name="h.gjdgxs" w:colLast="0"/>
      <w:bookmarkEnd w:id="0"/>
      <w:r w:rsidRPr="00000000" w:rsidR="00000000" w:rsidDel="00000000">
        <w:rPr>
          <w:b w:val="1"/>
          <w:sz w:val="24"/>
          <w:rtl w:val="0"/>
        </w:rPr>
        <w:tab/>
        <w:tab/>
      </w:r>
      <w:r w:rsidRPr="00000000" w:rsidR="00000000" w:rsidDel="00000000">
        <w:rPr>
          <w:sz w:val="24"/>
          <w:rtl w:val="0"/>
        </w:rPr>
        <w:t xml:space="preserve">V příloze vám přeposílám pozvánku v podobě propozic krajského bodovacího turnaje mladšího žactva, který uspořádá oddíl Slovanu Broumov v místní Městské sportovní hale v sobotu 12. října 2013. Naplánujte si volno, naložte své děti a přijeďte s nimi na tuto kvalitní a prospěšnou akci, máte to všichni kousek. Pořadatelé se na vás těší a rádi vás přivítají.</w:t>
        <w:tab/>
        <w:tab/>
      </w:r>
    </w:p>
    <w:p w:rsidP="00000000" w:rsidRPr="00000000" w:rsidR="00000000" w:rsidDel="00000000" w:rsidRDefault="00000000">
      <w:pPr>
        <w:ind w:left="284" w:hanging="283"/>
        <w:contextualSpacing w:val="0"/>
        <w:jc w:val="both"/>
      </w:pP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rtl w:val="0"/>
        </w:rPr>
      </w:r>
    </w:p>
    <w:p w:rsidP="00000000" w:rsidRPr="00000000" w:rsidR="00000000" w:rsidDel="00000000" w:rsidRDefault="00000000">
      <w:pPr>
        <w:ind w:left="284" w:hanging="283"/>
        <w:contextualSpacing w:val="0"/>
        <w:jc w:val="both"/>
      </w:pPr>
      <w:r w:rsidRPr="00000000" w:rsidR="00000000" w:rsidDel="00000000">
        <w:rPr>
          <w:b w:val="1"/>
          <w:sz w:val="24"/>
          <w:rtl w:val="0"/>
        </w:rPr>
        <w:t xml:space="preserve">Přílohy:</w:t>
      </w:r>
      <w:r w:rsidRPr="00000000" w:rsidR="00000000" w:rsidDel="00000000">
        <w:rPr>
          <w:rtl w:val="0"/>
        </w:rPr>
      </w:r>
    </w:p>
    <w:p w:rsidP="00000000" w:rsidRPr="00000000" w:rsidR="00000000" w:rsidDel="00000000" w:rsidRDefault="00000000">
      <w:pPr>
        <w:tabs>
          <w:tab w:val="left" w:pos="0"/>
          <w:tab w:val="left" w:pos="851"/>
        </w:tabs>
        <w:contextualSpacing w:val="0"/>
      </w:pPr>
      <w:r w:rsidRPr="00000000" w:rsidR="00000000" w:rsidDel="00000000">
        <w:rPr>
          <w:sz w:val="24"/>
          <w:rtl w:val="0"/>
        </w:rPr>
        <w:t xml:space="preserve">Právní úprava spolku od 1.1.2014 – dopis</w:t>
      </w:r>
    </w:p>
    <w:p w:rsidP="00000000" w:rsidRPr="00000000" w:rsidR="00000000" w:rsidDel="00000000" w:rsidRDefault="00000000">
      <w:pPr>
        <w:tabs>
          <w:tab w:val="left" w:pos="0"/>
          <w:tab w:val="left" w:pos="851"/>
        </w:tabs>
        <w:contextualSpacing w:val="0"/>
      </w:pPr>
      <w:r w:rsidRPr="00000000" w:rsidR="00000000" w:rsidDel="00000000">
        <w:rPr>
          <w:sz w:val="24"/>
          <w:rtl w:val="0"/>
        </w:rPr>
        <w:t xml:space="preserve">Právní úprava spolku od 1.1.2014 – doporučení pro sportovní organizace  </w:t>
      </w:r>
    </w:p>
    <w:p w:rsidP="00000000" w:rsidRPr="00000000" w:rsidR="00000000" w:rsidDel="00000000" w:rsidRDefault="00000000">
      <w:pPr>
        <w:tabs>
          <w:tab w:val="left" w:pos="284"/>
        </w:tabs>
        <w:contextualSpacing w:val="0"/>
        <w:jc w:val="both"/>
      </w:pPr>
      <w:r w:rsidRPr="00000000" w:rsidR="00000000" w:rsidDel="00000000">
        <w:rPr>
          <w:sz w:val="24"/>
          <w:rtl w:val="0"/>
        </w:rPr>
        <w:t xml:space="preserve">Propozice 2. VčBTM mladšího žactva v Broumově </w:t>
      </w:r>
    </w:p>
    <w:p w:rsidP="00000000" w:rsidRPr="00000000" w:rsidR="00000000" w:rsidDel="00000000" w:rsidRDefault="00000000">
      <w:pPr>
        <w:tabs>
          <w:tab w:val="left" w:pos="284"/>
        </w:tabs>
        <w:contextualSpacing w:val="0"/>
        <w:jc w:val="both"/>
      </w:pPr>
      <w:r w:rsidRPr="00000000" w:rsidR="00000000" w:rsidDel="00000000">
        <w:rPr>
          <w:rtl w:val="0"/>
        </w:rPr>
      </w:r>
    </w:p>
    <w:p w:rsidP="00000000" w:rsidRPr="00000000" w:rsidR="00000000" w:rsidDel="00000000" w:rsidRDefault="00000000">
      <w:pPr>
        <w:tabs>
          <w:tab w:val="left" w:pos="284"/>
        </w:tabs>
        <w:contextualSpacing w:val="0"/>
        <w:jc w:val="both"/>
      </w:pPr>
      <w:r w:rsidRPr="00000000" w:rsidR="00000000" w:rsidDel="00000000">
        <w:rPr>
          <w:rtl w:val="0"/>
        </w:rPr>
      </w:r>
    </w:p>
    <w:p w:rsidP="00000000" w:rsidRPr="00000000" w:rsidR="00000000" w:rsidDel="00000000" w:rsidRDefault="00000000">
      <w:pPr>
        <w:tabs>
          <w:tab w:val="left" w:pos="284"/>
        </w:tabs>
        <w:contextualSpacing w:val="0"/>
        <w:jc w:val="both"/>
      </w:pPr>
      <w:r w:rsidRPr="00000000" w:rsidR="00000000" w:rsidDel="00000000">
        <w:rPr>
          <w:sz w:val="24"/>
          <w:rtl w:val="0"/>
        </w:rPr>
        <w:t xml:space="preserve">V Jaroměři dne 3. 10. 2013 </w:t>
        <w:tab/>
        <w:tab/>
        <w:tab/>
        <w:tab/>
        <w:tab/>
        <w:t xml:space="preserve">Za VV RSST Náchod </w:t>
      </w:r>
    </w:p>
    <w:p w:rsidP="00000000" w:rsidRPr="00000000" w:rsidR="00000000" w:rsidDel="00000000" w:rsidRDefault="00000000">
      <w:pPr>
        <w:tabs>
          <w:tab w:val="left" w:pos="284"/>
        </w:tabs>
        <w:contextualSpacing w:val="0"/>
        <w:jc w:val="both"/>
      </w:pPr>
      <w:r w:rsidRPr="00000000" w:rsidR="00000000" w:rsidDel="00000000">
        <w:rPr>
          <w:sz w:val="24"/>
          <w:rtl w:val="0"/>
        </w:rPr>
        <w:tab/>
        <w:tab/>
        <w:tab/>
        <w:tab/>
        <w:tab/>
        <w:tab/>
        <w:tab/>
        <w:tab/>
        <w:tab/>
        <w:t xml:space="preserve">Stanislav Bouček, sekretář</w:t>
      </w:r>
    </w:p>
    <w:sectPr>
      <w:footerReference r:id="rId7" w:type="default"/>
      <w:pgSz w:w="11906" w:h="16838"/>
      <w:pgMar w:left="1134" w:right="1077" w:top="851" w:bottom="113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536"/>
        <w:tab w:val="right" w:pos="9072"/>
      </w:tabs>
      <w:spacing w:lineRule="auto" w:after="0" w:line="240" w:before="0"/>
      <w:contextualSpacing w:val="0"/>
    </w:pPr>
    <w:fldSimple w:dirty="0" w:instr="PAGE" w:fldLock="0">
      <w:r w:rsidRPr="00000000" w:rsidR="00000000" w:rsidDel="00000000">
        <w:rPr>
          <w:rFonts w:cs="Times New Roman" w:hAnsi="Times New Roman" w:eastAsia="Times New Roman" w:ascii="Times New Roman"/>
          <w:sz w:val="20"/>
        </w:rPr>
      </w:r>
    </w:fldSimple>
    <w:r w:rsidRPr="00000000" w:rsidR="00000000" w:rsidDel="00000000">
      <w:rPr>
        <w:rtl w:val="0"/>
      </w:rPr>
    </w:r>
  </w:p>
  <w:p w:rsidP="00000000" w:rsidRPr="00000000" w:rsidR="00000000" w:rsidDel="00000000" w:rsidRDefault="00000000">
    <w:pPr>
      <w:tabs>
        <w:tab w:val="center" w:pos="4536"/>
        <w:tab w:val="right" w:pos="9072"/>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contextualSpacing w:val="1"/>
      <w:jc w:val="left"/>
    </w:pPr>
    <w:rPr>
      <w:rFonts w:cs="Times New Roman" w:hAnsi="Times New Roman" w:eastAsia="Times New Roman" w:ascii="Times New Roman"/>
      <w:b w:val="0"/>
      <w:i w:val="0"/>
      <w:smallCaps w:val="0"/>
      <w:strike w:val="0"/>
      <w:color w:val="000000"/>
      <w:sz w:val="20"/>
      <w:u w:val="none"/>
      <w:vertAlign w:val="baseline"/>
    </w:rPr>
  </w:style>
  <w:style w:styleId="Heading1" w:type="paragraph">
    <w:name w:val="heading 1"/>
    <w:basedOn w:val="Normal"/>
    <w:next w:val="Normal"/>
    <w:pPr>
      <w:spacing w:lineRule="auto" w:after="0" w:line="240" w:before="0"/>
      <w:ind w:left="0" w:firstLine="0" w:right="0"/>
      <w:jc w:val="center"/>
    </w:pPr>
    <w:rPr>
      <w:rFonts w:cs="Arial" w:hAnsi="Arial" w:eastAsia="Arial" w:ascii="Arial"/>
      <w:b w:val="0"/>
      <w:i w:val="0"/>
      <w:smallCaps w:val="0"/>
      <w:strike w:val="0"/>
      <w:color w:val="000000"/>
      <w:sz w:val="28"/>
      <w:u w:val="none"/>
      <w:vertAlign w:val="baseline"/>
    </w:rPr>
  </w:style>
  <w:style w:styleId="Heading2" w:type="paragraph">
    <w:name w:val="heading 2"/>
    <w:basedOn w:val="Normal"/>
    <w:next w:val="Normal"/>
    <w:pPr>
      <w:spacing w:lineRule="auto" w:after="0" w:line="240" w:before="0"/>
      <w:ind w:left="0" w:firstLine="0" w:right="0"/>
      <w:jc w:val="center"/>
    </w:pPr>
    <w:rPr>
      <w:rFonts w:cs="Arial" w:hAnsi="Arial" w:eastAsia="Arial" w:ascii="Arial"/>
      <w:b w:val="1"/>
      <w:i w:val="0"/>
      <w:smallCaps w:val="0"/>
      <w:strike w:val="0"/>
      <w:color w:val="000000"/>
      <w:sz w:val="28"/>
      <w:u w:val="single"/>
      <w:vertAlign w:val="baseline"/>
    </w:rPr>
  </w:style>
  <w:style w:styleId="Heading3" w:type="paragraph">
    <w:name w:val="heading 3"/>
    <w:basedOn w:val="Normal"/>
    <w:next w:val="Normal"/>
    <w:pPr>
      <w:spacing w:lineRule="auto" w:after="0" w:line="240" w:before="0"/>
      <w:ind w:left="0" w:firstLine="0" w:right="0"/>
      <w:jc w:val="left"/>
    </w:pPr>
    <w:rPr>
      <w:rFonts w:cs="Arial" w:hAnsi="Arial" w:eastAsia="Arial" w:ascii="Arial"/>
      <w:b w:val="1"/>
      <w:i w:val="0"/>
      <w:smallCaps w:val="0"/>
      <w:strike w:val="0"/>
      <w:color w:val="000000"/>
      <w:sz w:val="22"/>
      <w:u w:val="single"/>
      <w:vertAlign w:val="baseline"/>
    </w:rPr>
  </w:style>
  <w:style w:styleId="Heading4" w:type="paragraph">
    <w:name w:val="heading 4"/>
    <w:basedOn w:val="Normal"/>
    <w:next w:val="Normal"/>
    <w:pPr>
      <w:tabs>
        <w:tab w:val="left" w:pos="1701"/>
        <w:tab w:val="left" w:pos="3969"/>
      </w:tabs>
      <w:spacing w:lineRule="auto" w:after="0" w:line="240" w:before="0"/>
      <w:ind w:left="0" w:firstLine="0" w:right="0"/>
      <w:jc w:val="left"/>
    </w:pPr>
    <w:rPr>
      <w:rFonts w:cs="Arial" w:hAnsi="Arial" w:eastAsia="Arial" w:ascii="Arial"/>
      <w:b w:val="0"/>
      <w:i w:val="0"/>
      <w:smallCaps w:val="0"/>
      <w:strike w:val="0"/>
      <w:color w:val="000000"/>
      <w:sz w:val="22"/>
      <w:u w:val="single"/>
      <w:vertAlign w:val="baseline"/>
    </w:rPr>
  </w:style>
  <w:style w:styleId="Heading5" w:type="paragraph">
    <w:name w:val="heading 5"/>
    <w:basedOn w:val="Normal"/>
    <w:next w:val="Normal"/>
    <w:pPr>
      <w:spacing w:lineRule="auto" w:after="0" w:line="240" w:before="0"/>
      <w:ind w:left="0" w:firstLine="0" w:right="0"/>
      <w:jc w:val="left"/>
    </w:pPr>
    <w:rPr>
      <w:rFonts w:cs="Arial" w:hAnsi="Arial" w:eastAsia="Arial" w:ascii="Arial"/>
      <w:b w:val="1"/>
      <w:i w:val="0"/>
      <w:smallCaps w:val="0"/>
      <w:strike w:val="0"/>
      <w:color w:val="000000"/>
      <w:sz w:val="22"/>
      <w:u w:val="single"/>
      <w:vertAlign w:val="baseline"/>
    </w:rPr>
  </w:style>
  <w:style w:styleId="Heading6" w:type="paragraph">
    <w:name w:val="heading 6"/>
    <w:basedOn w:val="Normal"/>
    <w:next w:val="Normal"/>
    <w:pPr>
      <w:tabs>
        <w:tab w:val="left" w:pos="1560"/>
        <w:tab w:val="left" w:pos="4253"/>
        <w:tab w:val="left" w:pos="4536"/>
        <w:tab w:val="left" w:pos="7088"/>
      </w:tabs>
      <w:spacing w:lineRule="auto" w:after="0" w:line="240" w:before="0"/>
      <w:ind w:left="0" w:firstLine="0" w:right="0"/>
      <w:jc w:val="left"/>
    </w:pPr>
    <w:rPr>
      <w:rFonts w:cs="Arial" w:hAnsi="Arial" w:eastAsia="Arial" w:ascii="Arial"/>
      <w:b w:val="1"/>
      <w:i w:val="0"/>
      <w:smallCaps w:val="0"/>
      <w:strike w:val="0"/>
      <w:color w:val="000000"/>
      <w:sz w:val="28"/>
      <w:u w:val="single"/>
      <w:vertAlign w:val="baseline"/>
    </w:rPr>
  </w:style>
  <w:style w:styleId="Title" w:type="paragraph">
    <w:name w:val="Title"/>
    <w:basedOn w:val="Normal"/>
    <w:next w:val="Normal"/>
    <w:pPr>
      <w:spacing w:lineRule="auto" w:after="0" w:line="240" w:before="0"/>
      <w:ind w:left="0" w:firstLine="0" w:right="0"/>
      <w:jc w:val="center"/>
    </w:pPr>
    <w:rPr>
      <w:rFonts w:cs="Times New Roman" w:hAnsi="Times New Roman" w:eastAsia="Times New Roman" w:ascii="Times New Roman"/>
      <w:b w:val="1"/>
      <w:i w:val="0"/>
      <w:smallCaps w:val="0"/>
      <w:strike w:val="0"/>
      <w:color w:val="000000"/>
      <w:sz w:val="24"/>
      <w:u w:val="single"/>
      <w:vertAlign w:val="baseline"/>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olympic.cz/pravniporadna" Type="http://schemas.openxmlformats.org/officeDocument/2006/relationships/hyperlink" TargetMode="External" Id="rId6"/><Relationship Target="media/image00.png" Type="http://schemas.openxmlformats.org/officeDocument/2006/relationships/image" Id="rId5"/><Relationship Target="footer1.xml" Type="http://schemas.openxmlformats.org/officeDocument/2006/relationships/footer"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Infoservis 2013-2014 č. 8.docx.docx</dc:title>
</cp:coreProperties>
</file>