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tabs>
          <w:tab w:val="left" w:pos="284"/>
        </w:tabs>
        <w:ind w:left="284" w:hanging="283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ind w:left="284" w:hanging="283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bidiVisual w:val="0"/>
        <w:tblW w:w="8150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6591"/>
        <w:gridCol w:w="1559"/>
        <w:gridCol w:w="772"/>
        <w:gridCol w:w="772"/>
      </w:tblGrid>
      <w:tr>
        <w:trPr>
          <w:trHeight w:val="140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1418"/>
                <w:tab w:val="left" w:pos="3261"/>
              </w:tabs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857250" cx="590550"/>
                  <wp:docPr id="1" name="image00.png"/>
                  <a:graphic>
                    <a:graphicData uri="http://schemas.openxmlformats.org/drawingml/2006/picture">
                      <pic:pic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ext cy="857250" cx="590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18"/>
                <w:tab w:val="left" w:pos="3261"/>
              </w:tabs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-708"/>
                <w:tab w:val="left" w:pos="6451"/>
              </w:tabs>
              <w:spacing w:lineRule="auto" w:after="0" w:line="240" w:before="0"/>
              <w:ind w:left="-708" w:right="-69" w:hanging="1417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-69"/>
                <w:tab w:val="left" w:pos="6451"/>
              </w:tabs>
              <w:spacing w:lineRule="auto" w:after="0" w:line="240" w:before="0"/>
              <w:ind w:left="-69" w:firstLine="0" w:right="-69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000000"/>
                <w:sz w:val="32"/>
                <w:u w:val="single"/>
                <w:rtl w:val="0"/>
              </w:rPr>
              <w:t xml:space="preserve">ZPRÁVY RSST Náchod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-69"/>
                <w:tab w:val="left" w:pos="6451"/>
              </w:tabs>
              <w:spacing w:lineRule="auto" w:after="0" w:line="240" w:before="0"/>
              <w:ind w:left="-69" w:firstLine="0" w:right="-69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-69"/>
                <w:tab w:val="left" w:pos="6451"/>
              </w:tabs>
              <w:spacing w:lineRule="auto" w:after="0" w:line="240" w:before="0"/>
              <w:ind w:left="-69" w:firstLine="0" w:right="-69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color w:val="000000"/>
                <w:sz w:val="32"/>
                <w:u w:val="single"/>
                <w:rtl w:val="0"/>
              </w:rPr>
              <w:t xml:space="preserve">2013 / 2014 č. 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1418"/>
                <w:tab w:val="left" w:pos="3261"/>
              </w:tabs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18"/>
                <w:tab w:val="left" w:pos="3261"/>
              </w:tabs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18"/>
                <w:tab w:val="left" w:pos="3261"/>
              </w:tabs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18"/>
                <w:tab w:val="left" w:pos="3261"/>
              </w:tabs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sz w:val="20"/>
                <w:rtl w:val="0"/>
              </w:rPr>
              <w:t xml:space="preserve">9. 10. 2013 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tabs>
          <w:tab w:val="left" w:pos="0"/>
        </w:tabs>
        <w:ind w:left="284" w:hanging="283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1.</w:t>
        <w:tab/>
        <w:t xml:space="preserve">Udělení pořádkové pokuty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ab/>
      </w:r>
      <w:r w:rsidRPr="00000000" w:rsidR="00000000" w:rsidDel="00000000">
        <w:rPr>
          <w:sz w:val="24"/>
          <w:rtl w:val="0"/>
        </w:rPr>
        <w:t xml:space="preserve">/Zpráva ředitele soutěží/</w:t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ab/>
        <w:tab/>
      </w:r>
      <w:r w:rsidRPr="00000000" w:rsidR="00000000" w:rsidDel="00000000">
        <w:rPr>
          <w:sz w:val="24"/>
          <w:rtl w:val="0"/>
        </w:rPr>
        <w:t xml:space="preserve">V souladu s ustanovením článku 13.2 Rozpisu soutěží uděluji pořádkovou pokutu oddílu Sokola Vysoká Srbská ve výši 200 Kč za zavinění nesehrání utkání 1. kola v RP4 Sokol Velká Jesenice C – Sokol Vysoká Srbská B dne 7. 10. 2013. Utkání bylo kontumováno ve prospěch družstva Sokola Velká Jesenice C.</w:t>
        <w:tab/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sz w:val="24"/>
          <w:rtl w:val="0"/>
        </w:rPr>
        <w:tab/>
        <w:tab/>
      </w:r>
      <w:r w:rsidRPr="00000000" w:rsidR="00000000" w:rsidDel="00000000">
        <w:rPr>
          <w:b w:val="1"/>
          <w:i w:val="1"/>
          <w:color w:val="ff0000"/>
          <w:sz w:val="24"/>
          <w:rtl w:val="0"/>
        </w:rPr>
        <w:t xml:space="preserve">Pokuta je splatná do 23. 10.  2013</w:t>
      </w:r>
      <w:r w:rsidRPr="00000000" w:rsidR="00000000" w:rsidDel="00000000">
        <w:rPr>
          <w:b w:val="1"/>
          <w:color w:val="ff0000"/>
          <w:sz w:val="24"/>
          <w:rtl w:val="0"/>
        </w:rPr>
        <w:t xml:space="preserve">,</w:t>
      </w:r>
      <w:r w:rsidRPr="00000000" w:rsidR="00000000" w:rsidDel="00000000">
        <w:rPr>
          <w:sz w:val="24"/>
          <w:rtl w:val="0"/>
        </w:rPr>
        <w:t xml:space="preserve"> do tohoto termínu je nutné zaslat kopii dokladu o úhradě pokuty na adresu ředitele soutěží: Pavel Baštář, Příkopy 1206, 547 01 Náchod nebo naskenovaný doklad mailem na adresu </w:t>
      </w:r>
      <w:hyperlink r:id="rId6">
        <w:r w:rsidRPr="00000000" w:rsidR="00000000" w:rsidDel="00000000">
          <w:rPr>
            <w:sz w:val="24"/>
            <w:rtl w:val="0"/>
          </w:rPr>
          <w:t xml:space="preserve">bastar.p@seznam.cz</w:t>
        </w:r>
      </w:hyperlink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sz w:val="24"/>
          <w:rtl w:val="0"/>
        </w:rPr>
        <w:t xml:space="preserve">Platit je možné bankovním převodem na běžný účet RSST, č. účtu 260329347/0300, variabilní symbol 34 + šestimístné číslo oddílu (v tomto případě 34605015). Po domluvě je možné uhradit pokutu hotově u hospodáře Jaromíra Koukoly na adrese Na Hamrech 809, 547 01 Náchod. V případě neuhrazení uložené pokuty bude VV RSST postupovat podle čl. 606.06 Soutěžního řádu (zastavení závodní činnosti oddílu do doby zaplacení). </w:t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2. Schválené přestupy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ab/>
      </w:r>
      <w:r w:rsidRPr="00000000" w:rsidR="00000000" w:rsidDel="00000000">
        <w:rPr>
          <w:sz w:val="24"/>
          <w:rtl w:val="0"/>
        </w:rPr>
        <w:t xml:space="preserve">/Zpráva STK/</w:t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sz w:val="24"/>
          <w:rtl w:val="0"/>
        </w:rPr>
        <w:tab/>
        <w:tab/>
        <w:t xml:space="preserve">V období od 3. 10. do 9. 10. 2013 byly schváleny tyto přestupy, které se týkají oddílů našeho regionu:</w:t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sz w:val="24"/>
          <w:rtl w:val="0"/>
        </w:rPr>
        <w:tab/>
      </w:r>
      <w:r w:rsidRPr="00000000" w:rsidR="00000000" w:rsidDel="00000000">
        <w:rPr>
          <w:i w:val="1"/>
          <w:sz w:val="24"/>
          <w:rtl w:val="0"/>
        </w:rPr>
        <w:t xml:space="preserve">Jméno hráče, rok narození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i w:val="1"/>
          <w:sz w:val="24"/>
          <w:rtl w:val="0"/>
        </w:rPr>
        <w:tab/>
        <w:t xml:space="preserve">z oddílu</w:t>
        <w:tab/>
        <w:tab/>
        <w:tab/>
        <w:tab/>
        <w:t xml:space="preserve">do oddílu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sz w:val="24"/>
          <w:rtl w:val="0"/>
        </w:rPr>
        <w:tab/>
        <w:t xml:space="preserve">Nedomlel Konstantin (1969)</w:t>
        <w:tab/>
        <w:t xml:space="preserve">Sokol Vlkov</w:t>
        <w:tab/>
        <w:tab/>
        <w:tab/>
        <w:t xml:space="preserve">Sokol Jaroměř – Josefov</w:t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sz w:val="24"/>
          <w:rtl w:val="0"/>
        </w:rPr>
        <w:tab/>
        <w:t xml:space="preserve">Nedomlel Lukáš (1995)</w:t>
        <w:tab/>
        <w:tab/>
        <w:t xml:space="preserve">Sokol Vlkov</w:t>
        <w:tab/>
        <w:tab/>
        <w:tab/>
        <w:t xml:space="preserve">Sokol Jaroměř – Josefov</w:t>
      </w:r>
    </w:p>
    <w:p w:rsidP="00000000" w:rsidRPr="00000000" w:rsidR="00000000" w:rsidDel="00000000" w:rsidRDefault="00000000">
      <w:pPr>
        <w:ind w:left="284" w:hanging="283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sz w:val="24"/>
          <w:rtl w:val="0"/>
        </w:rPr>
        <w:tab/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bookmarkStart w:id="0" w:colFirst="0" w:name="h.gjdgxs" w:colLast="0"/>
      <w:bookmarkEnd w:id="0"/>
      <w:r w:rsidRPr="00000000" w:rsidR="00000000" w:rsidDel="00000000">
        <w:rPr>
          <w:sz w:val="24"/>
          <w:rtl w:val="0"/>
        </w:rPr>
        <w:t xml:space="preserve">V Jaroměři dne 9. 10. 2013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sz w:val="24"/>
          <w:rtl w:val="0"/>
        </w:rPr>
        <w:tab/>
        <w:tab/>
        <w:tab/>
        <w:tab/>
        <w:tab/>
        <w:tab/>
        <w:tab/>
        <w:tab/>
        <w:tab/>
        <w:t xml:space="preserve">Za VV RSST Náchod</w:t>
      </w:r>
    </w:p>
    <w:p w:rsidP="00000000" w:rsidRPr="00000000" w:rsidR="00000000" w:rsidDel="00000000" w:rsidRDefault="00000000">
      <w:pPr>
        <w:tabs>
          <w:tab w:val="center" w:pos="4320"/>
          <w:tab w:val="right" w:pos="8640"/>
        </w:tabs>
        <w:spacing w:lineRule="auto" w:after="0" w:line="240" w:before="0"/>
        <w:ind w:left="284" w:hanging="283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ab/>
        <w:tab/>
        <w:tab/>
        <w:tab/>
        <w:tab/>
        <w:tab/>
        <w:tab/>
        <w:t xml:space="preserve">Stanislav Bouček, sekretář</w:t>
      </w:r>
      <w:r w:rsidRPr="00000000" w:rsidR="00000000" w:rsidDel="00000000">
        <w:rPr>
          <w:rtl w:val="0"/>
        </w:rPr>
      </w:r>
    </w:p>
    <w:sectPr>
      <w:footerReference r:id="rId7" w:type="default"/>
      <w:pgSz w:w="11906" w:h="16838"/>
      <w:pgMar w:left="1134" w:right="1077" w:top="851" w:bottom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after="0" w:line="240" w:before="0"/>
      <w:contextualSpacing w:val="0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sz w:val="20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Arial" w:hAnsi="Arial" w:eastAsia="Arial" w:ascii="Arial"/>
      <w:b w:val="0"/>
      <w:i w:val="0"/>
      <w:smallCaps w:val="0"/>
      <w:strike w:val="0"/>
      <w:color w:val="000000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Arial" w:hAnsi="Arial" w:eastAsia="Arial" w:ascii="Arial"/>
      <w:b w:val="1"/>
      <w:i w:val="0"/>
      <w:smallCaps w:val="0"/>
      <w:strike w:val="0"/>
      <w:color w:val="000000"/>
      <w:sz w:val="28"/>
      <w:u w:val="single"/>
      <w:vertAlign w:val="baseline"/>
    </w:rPr>
  </w:style>
  <w:style w:styleId="Heading3" w:type="paragraph">
    <w:name w:val="heading 3"/>
    <w:basedOn w:val="Normal"/>
    <w:next w:val="Normal"/>
    <w:pPr>
      <w:spacing w:lineRule="auto" w:after="0" w:line="240" w:before="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2"/>
      <w:u w:val="single"/>
      <w:vertAlign w:val="baseline"/>
    </w:rPr>
  </w:style>
  <w:style w:styleId="Heading4" w:type="paragraph">
    <w:name w:val="heading 4"/>
    <w:basedOn w:val="Normal"/>
    <w:next w:val="Normal"/>
    <w:pPr>
      <w:tabs>
        <w:tab w:val="left" w:pos="1701"/>
        <w:tab w:val="left" w:pos="3969"/>
      </w:tabs>
      <w:spacing w:lineRule="auto" w:after="0" w:line="240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single"/>
      <w:vertAlign w:val="baseline"/>
    </w:rPr>
  </w:style>
  <w:style w:styleId="Heading5" w:type="paragraph">
    <w:name w:val="heading 5"/>
    <w:basedOn w:val="Normal"/>
    <w:next w:val="Normal"/>
    <w:pPr>
      <w:spacing w:lineRule="auto" w:after="0" w:line="240" w:before="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2"/>
      <w:u w:val="single"/>
      <w:vertAlign w:val="baseline"/>
    </w:rPr>
  </w:style>
  <w:style w:styleId="Heading6" w:type="paragraph">
    <w:name w:val="heading 6"/>
    <w:basedOn w:val="Normal"/>
    <w:next w:val="Normal"/>
    <w:pPr>
      <w:tabs>
        <w:tab w:val="left" w:pos="1560"/>
        <w:tab w:val="left" w:pos="4253"/>
        <w:tab w:val="left" w:pos="4536"/>
        <w:tab w:val="left" w:pos="7088"/>
      </w:tabs>
      <w:spacing w:lineRule="auto" w:after="0" w:line="240" w:before="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8"/>
      <w:u w:val="single"/>
      <w:vertAlign w:val="baseline"/>
    </w:rPr>
  </w:style>
  <w:style w:styleId="Title" w:type="paragraph">
    <w:name w:val="Title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single"/>
      <w:vertAlign w:val="baseline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bastar.p@seznam.cz" Type="http://schemas.openxmlformats.org/officeDocument/2006/relationships/hyperlink" TargetMode="External" Id="rId6"/><Relationship Target="media/image00.png" Type="http://schemas.openxmlformats.org/officeDocument/2006/relationships/image" Id="rId5"/><Relationship Target="footer1.xml" Type="http://schemas.openxmlformats.org/officeDocument/2006/relationships/footer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2013-2014 č. 3.docx</dc:title>
</cp:coreProperties>
</file>